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149B" w14:textId="77777777" w:rsidR="00315BFC" w:rsidRPr="006561A1" w:rsidRDefault="00315BFC" w:rsidP="006561A1">
      <w:pPr>
        <w:spacing w:after="120" w:line="276" w:lineRule="auto"/>
        <w:jc w:val="center"/>
        <w:rPr>
          <w:b/>
          <w:bCs/>
          <w:lang w:val="vi-VN"/>
        </w:rPr>
      </w:pPr>
    </w:p>
    <w:p w14:paraId="43D22E84" w14:textId="77777777" w:rsidR="0028212D" w:rsidRPr="006561A1" w:rsidRDefault="0028212D" w:rsidP="006561A1">
      <w:pPr>
        <w:spacing w:after="120" w:line="276" w:lineRule="auto"/>
        <w:jc w:val="center"/>
        <w:rPr>
          <w:b/>
          <w:bCs/>
          <w:lang w:val="vi-VN"/>
        </w:rPr>
      </w:pPr>
    </w:p>
    <w:p w14:paraId="0A63C9E1" w14:textId="77777777" w:rsidR="0028212D" w:rsidRPr="006561A1" w:rsidRDefault="0028212D" w:rsidP="006561A1">
      <w:pPr>
        <w:spacing w:after="120" w:line="276" w:lineRule="auto"/>
        <w:jc w:val="center"/>
        <w:rPr>
          <w:b/>
          <w:bCs/>
          <w:lang w:val="vi-VN"/>
        </w:rPr>
      </w:pPr>
    </w:p>
    <w:p w14:paraId="68B29D6C" w14:textId="714F4DAD" w:rsidR="00A12C15" w:rsidRPr="006561A1" w:rsidRDefault="00A12C15" w:rsidP="006561A1">
      <w:pPr>
        <w:spacing w:after="120" w:line="276" w:lineRule="auto"/>
        <w:jc w:val="center"/>
        <w:rPr>
          <w:b/>
          <w:bCs/>
          <w:color w:val="153D63" w:themeColor="text2" w:themeTint="E6"/>
          <w:sz w:val="32"/>
          <w:szCs w:val="32"/>
          <w:lang w:val="vi-VN"/>
        </w:rPr>
      </w:pPr>
      <w:r w:rsidRPr="006561A1">
        <w:rPr>
          <w:b/>
          <w:bCs/>
          <w:color w:val="153D63" w:themeColor="text2" w:themeTint="E6"/>
          <w:sz w:val="32"/>
          <w:szCs w:val="32"/>
          <w:lang w:val="vi-VN"/>
        </w:rPr>
        <w:t>BẢN Ý KIẾN GÓP Ý</w:t>
      </w:r>
    </w:p>
    <w:p w14:paraId="14A257C6" w14:textId="77777777" w:rsidR="0028212D" w:rsidRPr="006561A1" w:rsidRDefault="0028212D" w:rsidP="006561A1">
      <w:pPr>
        <w:spacing w:after="120" w:line="276" w:lineRule="auto"/>
        <w:jc w:val="center"/>
        <w:rPr>
          <w:b/>
          <w:bCs/>
          <w:lang w:val="vi-VN"/>
        </w:rPr>
      </w:pPr>
      <w:r w:rsidRPr="006561A1">
        <w:rPr>
          <w:b/>
          <w:bCs/>
          <w:lang w:val="vi-VN"/>
        </w:rPr>
        <w:t xml:space="preserve">Dự thảo sửa đổi các điều 11, 12, 13 và 16 Quy tắc Tố tụng Trọng tài của Trung tâm Trọng tài Quốc tế Việt Nam (VIAC) </w:t>
      </w:r>
    </w:p>
    <w:p w14:paraId="50DFE370" w14:textId="64C27F81" w:rsidR="00A12C15" w:rsidRPr="006561A1" w:rsidRDefault="0028212D" w:rsidP="006561A1">
      <w:pPr>
        <w:spacing w:after="120" w:line="276" w:lineRule="auto"/>
        <w:jc w:val="center"/>
        <w:rPr>
          <w:b/>
          <w:bCs/>
          <w:lang w:val="vi-VN"/>
        </w:rPr>
      </w:pPr>
      <w:r w:rsidRPr="006561A1">
        <w:rPr>
          <w:b/>
          <w:bCs/>
          <w:lang w:val="vi-VN"/>
        </w:rPr>
        <w:t>và Dự thảo Bộ Quy tắc Đạo đức và Ứng xử nghề nghiệp Trọng tài viên tại VIAC</w:t>
      </w:r>
    </w:p>
    <w:p w14:paraId="09F4C6E4" w14:textId="77777777" w:rsidR="00A12C15" w:rsidRPr="006561A1" w:rsidRDefault="00A12C15" w:rsidP="006561A1">
      <w:pPr>
        <w:spacing w:after="120" w:line="276" w:lineRule="auto"/>
        <w:jc w:val="both"/>
        <w:rPr>
          <w:b/>
          <w:bCs/>
          <w:lang w:val="vi-VN"/>
        </w:rPr>
      </w:pPr>
    </w:p>
    <w:p w14:paraId="2C661F10" w14:textId="77777777" w:rsidR="0028212D" w:rsidRPr="006561A1" w:rsidRDefault="0028212D" w:rsidP="006561A1">
      <w:pPr>
        <w:spacing w:after="120" w:line="276" w:lineRule="auto"/>
        <w:jc w:val="both"/>
        <w:rPr>
          <w:b/>
          <w:bCs/>
          <w:lang w:val="vi-VN"/>
        </w:rPr>
      </w:pPr>
    </w:p>
    <w:p w14:paraId="7C7C4D84" w14:textId="78C7F115" w:rsidR="00A12C15" w:rsidRPr="00D243F3" w:rsidRDefault="0028212D" w:rsidP="00D243F3">
      <w:pPr>
        <w:spacing w:after="120" w:line="276" w:lineRule="auto"/>
        <w:jc w:val="center"/>
        <w:rPr>
          <w:b/>
          <w:bCs/>
        </w:rPr>
      </w:pPr>
      <w:r w:rsidRPr="006561A1">
        <w:rPr>
          <w:b/>
          <w:bCs/>
          <w:lang w:val="vi-VN"/>
        </w:rPr>
        <w:t>THÔNG TIN NGƯỜI GÓP Ý</w:t>
      </w:r>
    </w:p>
    <w:tbl>
      <w:tblPr>
        <w:tblStyle w:val="TableGrid"/>
        <w:tblW w:w="0" w:type="auto"/>
        <w:jc w:val="center"/>
        <w:tbl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insideH w:val="single" w:sz="4" w:space="0" w:color="747474" w:themeColor="background2" w:themeShade="80"/>
          <w:insideV w:val="single" w:sz="4" w:space="0" w:color="747474" w:themeColor="background2" w:themeShade="80"/>
        </w:tblBorders>
        <w:tblLook w:val="04A0" w:firstRow="1" w:lastRow="0" w:firstColumn="1" w:lastColumn="0" w:noHBand="0" w:noVBand="1"/>
      </w:tblPr>
      <w:tblGrid>
        <w:gridCol w:w="2122"/>
        <w:gridCol w:w="6237"/>
      </w:tblGrid>
      <w:tr w:rsidR="00A12C15" w:rsidRPr="006561A1" w14:paraId="6B44F609" w14:textId="77777777" w:rsidTr="006561A1">
        <w:trPr>
          <w:jc w:val="center"/>
        </w:trPr>
        <w:tc>
          <w:tcPr>
            <w:tcW w:w="2122" w:type="dxa"/>
          </w:tcPr>
          <w:p w14:paraId="4C83B979" w14:textId="0F045616" w:rsidR="00A12C15" w:rsidRPr="006561A1" w:rsidRDefault="00A12C15" w:rsidP="006561A1">
            <w:pPr>
              <w:spacing w:after="120" w:line="276" w:lineRule="auto"/>
              <w:rPr>
                <w:b/>
                <w:bCs/>
                <w:lang w:val="vi-VN"/>
              </w:rPr>
            </w:pPr>
            <w:r w:rsidRPr="006561A1">
              <w:rPr>
                <w:b/>
                <w:bCs/>
                <w:lang w:val="vi-VN"/>
              </w:rPr>
              <w:t>Họ và tên</w:t>
            </w:r>
          </w:p>
        </w:tc>
        <w:tc>
          <w:tcPr>
            <w:tcW w:w="6237" w:type="dxa"/>
          </w:tcPr>
          <w:p w14:paraId="746F4207" w14:textId="77777777" w:rsidR="00A12C15" w:rsidRPr="006561A1" w:rsidRDefault="00A12C15" w:rsidP="006561A1">
            <w:pPr>
              <w:spacing w:after="120" w:line="276" w:lineRule="auto"/>
              <w:rPr>
                <w:b/>
                <w:bCs/>
                <w:lang w:val="vi-VN"/>
              </w:rPr>
            </w:pPr>
          </w:p>
        </w:tc>
      </w:tr>
      <w:tr w:rsidR="00A12C15" w:rsidRPr="006561A1" w14:paraId="7FC197FB" w14:textId="77777777" w:rsidTr="006561A1">
        <w:trPr>
          <w:jc w:val="center"/>
        </w:trPr>
        <w:tc>
          <w:tcPr>
            <w:tcW w:w="2122" w:type="dxa"/>
          </w:tcPr>
          <w:p w14:paraId="4F9F9BE6" w14:textId="3B0F6DDC" w:rsidR="00A12C15" w:rsidRPr="006561A1" w:rsidRDefault="00A12C15" w:rsidP="006561A1">
            <w:pPr>
              <w:spacing w:after="120" w:line="276" w:lineRule="auto"/>
              <w:rPr>
                <w:b/>
                <w:bCs/>
                <w:lang w:val="vi-VN"/>
              </w:rPr>
            </w:pPr>
            <w:r w:rsidRPr="006561A1">
              <w:rPr>
                <w:b/>
                <w:bCs/>
                <w:lang w:val="vi-VN"/>
              </w:rPr>
              <w:t>Chức vụ</w:t>
            </w:r>
          </w:p>
        </w:tc>
        <w:tc>
          <w:tcPr>
            <w:tcW w:w="6237" w:type="dxa"/>
          </w:tcPr>
          <w:p w14:paraId="392C9E4C" w14:textId="77777777" w:rsidR="00A12C15" w:rsidRPr="006561A1" w:rsidRDefault="00A12C15" w:rsidP="006561A1">
            <w:pPr>
              <w:spacing w:after="120" w:line="276" w:lineRule="auto"/>
              <w:rPr>
                <w:lang w:val="vi-VN"/>
              </w:rPr>
            </w:pPr>
          </w:p>
        </w:tc>
      </w:tr>
      <w:tr w:rsidR="00A12C15" w:rsidRPr="006561A1" w14:paraId="3FD735B2" w14:textId="77777777" w:rsidTr="006561A1">
        <w:trPr>
          <w:jc w:val="center"/>
        </w:trPr>
        <w:tc>
          <w:tcPr>
            <w:tcW w:w="2122" w:type="dxa"/>
          </w:tcPr>
          <w:p w14:paraId="40F0783C" w14:textId="781D433E" w:rsidR="00A12C15" w:rsidRPr="006561A1" w:rsidRDefault="00A12C15" w:rsidP="006561A1">
            <w:pPr>
              <w:spacing w:after="120" w:line="276" w:lineRule="auto"/>
              <w:rPr>
                <w:b/>
                <w:bCs/>
                <w:lang w:val="vi-VN"/>
              </w:rPr>
            </w:pPr>
            <w:r w:rsidRPr="006561A1">
              <w:rPr>
                <w:b/>
                <w:bCs/>
                <w:lang w:val="vi-VN"/>
              </w:rPr>
              <w:t>Nơi Công tác</w:t>
            </w:r>
          </w:p>
        </w:tc>
        <w:tc>
          <w:tcPr>
            <w:tcW w:w="6237" w:type="dxa"/>
          </w:tcPr>
          <w:p w14:paraId="64417FF8" w14:textId="77777777" w:rsidR="00A12C15" w:rsidRPr="006561A1" w:rsidRDefault="00A12C15" w:rsidP="006561A1">
            <w:pPr>
              <w:spacing w:after="120" w:line="276" w:lineRule="auto"/>
              <w:rPr>
                <w:lang w:val="vi-VN"/>
              </w:rPr>
            </w:pPr>
          </w:p>
        </w:tc>
      </w:tr>
      <w:tr w:rsidR="00A12C15" w:rsidRPr="006561A1" w14:paraId="00826E38" w14:textId="77777777" w:rsidTr="006561A1">
        <w:trPr>
          <w:jc w:val="center"/>
        </w:trPr>
        <w:tc>
          <w:tcPr>
            <w:tcW w:w="2122" w:type="dxa"/>
          </w:tcPr>
          <w:p w14:paraId="3E33B705" w14:textId="6ED39AE2" w:rsidR="00A12C15" w:rsidRPr="006561A1" w:rsidRDefault="00A12C15" w:rsidP="006561A1">
            <w:pPr>
              <w:spacing w:after="120" w:line="276" w:lineRule="auto"/>
              <w:rPr>
                <w:b/>
                <w:bCs/>
                <w:lang w:val="vi-VN"/>
              </w:rPr>
            </w:pPr>
            <w:r w:rsidRPr="006561A1">
              <w:rPr>
                <w:b/>
                <w:bCs/>
                <w:lang w:val="vi-VN"/>
              </w:rPr>
              <w:t>Điện thoại</w:t>
            </w:r>
          </w:p>
        </w:tc>
        <w:tc>
          <w:tcPr>
            <w:tcW w:w="6237" w:type="dxa"/>
          </w:tcPr>
          <w:p w14:paraId="61010DFC" w14:textId="77777777" w:rsidR="00A12C15" w:rsidRPr="006561A1" w:rsidRDefault="00A12C15" w:rsidP="006561A1">
            <w:pPr>
              <w:spacing w:after="120" w:line="276" w:lineRule="auto"/>
              <w:rPr>
                <w:lang w:val="vi-VN"/>
              </w:rPr>
            </w:pPr>
          </w:p>
        </w:tc>
      </w:tr>
      <w:tr w:rsidR="00A12C15" w:rsidRPr="006561A1" w14:paraId="4285BA97" w14:textId="77777777" w:rsidTr="006561A1">
        <w:trPr>
          <w:jc w:val="center"/>
        </w:trPr>
        <w:tc>
          <w:tcPr>
            <w:tcW w:w="2122" w:type="dxa"/>
          </w:tcPr>
          <w:p w14:paraId="3432125B" w14:textId="3DF2F090" w:rsidR="00A12C15" w:rsidRPr="006561A1" w:rsidRDefault="00A12C15" w:rsidP="006561A1">
            <w:pPr>
              <w:spacing w:after="120" w:line="276" w:lineRule="auto"/>
              <w:rPr>
                <w:b/>
                <w:bCs/>
                <w:lang w:val="vi-VN"/>
              </w:rPr>
            </w:pPr>
            <w:r w:rsidRPr="006561A1">
              <w:rPr>
                <w:b/>
                <w:bCs/>
                <w:lang w:val="vi-VN"/>
              </w:rPr>
              <w:t>Email</w:t>
            </w:r>
          </w:p>
        </w:tc>
        <w:tc>
          <w:tcPr>
            <w:tcW w:w="6237" w:type="dxa"/>
          </w:tcPr>
          <w:p w14:paraId="7FF704F2" w14:textId="77777777" w:rsidR="00A12C15" w:rsidRPr="006561A1" w:rsidRDefault="00A12C15" w:rsidP="006561A1">
            <w:pPr>
              <w:spacing w:after="120" w:line="276" w:lineRule="auto"/>
              <w:rPr>
                <w:lang w:val="vi-VN"/>
              </w:rPr>
            </w:pPr>
          </w:p>
        </w:tc>
      </w:tr>
    </w:tbl>
    <w:p w14:paraId="528A5C1C" w14:textId="77777777" w:rsidR="00A12C15" w:rsidRPr="006561A1" w:rsidRDefault="00A12C15" w:rsidP="006561A1">
      <w:pPr>
        <w:spacing w:after="120" w:line="276" w:lineRule="auto"/>
        <w:rPr>
          <w:b/>
          <w:bCs/>
          <w:lang w:val="vi-VN"/>
        </w:rPr>
      </w:pPr>
    </w:p>
    <w:p w14:paraId="2E266A3E" w14:textId="77777777" w:rsidR="00A12C15" w:rsidRPr="006561A1" w:rsidRDefault="00A12C15" w:rsidP="006561A1">
      <w:pPr>
        <w:spacing w:after="120" w:line="276" w:lineRule="auto"/>
        <w:rPr>
          <w:b/>
          <w:bCs/>
          <w:lang w:val="vi-VN"/>
        </w:rPr>
      </w:pPr>
      <w:r w:rsidRPr="006561A1">
        <w:rPr>
          <w:b/>
          <w:bCs/>
          <w:lang w:val="vi-VN"/>
        </w:rPr>
        <w:br w:type="page"/>
      </w:r>
    </w:p>
    <w:p w14:paraId="587478F7" w14:textId="17450070" w:rsidR="000A735A" w:rsidRPr="006561A1" w:rsidRDefault="009B23F1" w:rsidP="006561A1">
      <w:pPr>
        <w:spacing w:after="120" w:line="276" w:lineRule="auto"/>
        <w:jc w:val="center"/>
        <w:rPr>
          <w:b/>
          <w:bCs/>
          <w:lang w:val="vi-VN"/>
        </w:rPr>
      </w:pPr>
      <w:r w:rsidRPr="006561A1">
        <w:rPr>
          <w:b/>
          <w:bCs/>
          <w:lang w:val="vi-VN"/>
        </w:rPr>
        <w:lastRenderedPageBreak/>
        <w:t>DỰ THẢO SỬA ĐỔI CÁC ĐIỀU 11, 12, 13</w:t>
      </w:r>
      <w:r w:rsidR="000A735A" w:rsidRPr="006561A1">
        <w:rPr>
          <w:b/>
          <w:bCs/>
          <w:lang w:val="vi-VN"/>
        </w:rPr>
        <w:t xml:space="preserve"> và 16</w:t>
      </w:r>
      <w:r w:rsidR="006561A1" w:rsidRPr="006561A1">
        <w:rPr>
          <w:b/>
          <w:bCs/>
          <w:lang w:val="vi-VN"/>
        </w:rPr>
        <w:t xml:space="preserve"> </w:t>
      </w:r>
      <w:r w:rsidR="000A735A" w:rsidRPr="006561A1">
        <w:rPr>
          <w:b/>
          <w:bCs/>
          <w:lang w:val="vi-VN"/>
        </w:rPr>
        <w:t>QUY TẮC TỐ TỤNG TRỌNG TÀI CỦA VIAC</w:t>
      </w:r>
    </w:p>
    <w:p w14:paraId="3307FC57" w14:textId="5EC826A5" w:rsidR="00315BFC" w:rsidRPr="006561A1" w:rsidRDefault="00315BFC" w:rsidP="006561A1">
      <w:pPr>
        <w:spacing w:after="120" w:line="276" w:lineRule="auto"/>
        <w:jc w:val="center"/>
        <w:rPr>
          <w:i/>
          <w:iCs/>
          <w:lang w:val="vi-VN"/>
        </w:rPr>
      </w:pPr>
      <w:r w:rsidRPr="006561A1">
        <w:rPr>
          <w:i/>
          <w:iCs/>
          <w:lang w:val="vi-VN"/>
        </w:rPr>
        <w:t>(Dự thảo 01 ngày 20 tháng 03 năm 2025</w:t>
      </w:r>
      <w:r w:rsidR="007154E2" w:rsidRPr="006561A1">
        <w:rPr>
          <w:i/>
          <w:iCs/>
          <w:lang w:val="vi-VN"/>
        </w:rPr>
        <w:t>)</w:t>
      </w:r>
    </w:p>
    <w:p w14:paraId="306AEDF8" w14:textId="2CDC11FD" w:rsidR="00E50EC8" w:rsidRPr="006561A1" w:rsidRDefault="00E50EC8" w:rsidP="006561A1">
      <w:pPr>
        <w:spacing w:after="120" w:line="276" w:lineRule="auto"/>
        <w:jc w:val="center"/>
        <w:rPr>
          <w:lang w:val="vi-VN"/>
        </w:rPr>
      </w:pPr>
      <w:r w:rsidRPr="006561A1">
        <w:rPr>
          <w:lang w:val="vi-VN"/>
        </w:rPr>
        <w:t>________________________</w:t>
      </w:r>
    </w:p>
    <w:tbl>
      <w:tblPr>
        <w:tblStyle w:val="TableGrid"/>
        <w:tblW w:w="14170" w:type="dxa"/>
        <w:tblLook w:val="04A0" w:firstRow="1" w:lastRow="0" w:firstColumn="1" w:lastColumn="0" w:noHBand="0" w:noVBand="1"/>
      </w:tblPr>
      <w:tblGrid>
        <w:gridCol w:w="6996"/>
        <w:gridCol w:w="7174"/>
      </w:tblGrid>
      <w:tr w:rsidR="007154E2" w:rsidRPr="006561A1" w14:paraId="112C9AA1" w14:textId="77777777" w:rsidTr="00D243F3">
        <w:trPr>
          <w:trHeight w:val="491"/>
          <w:tblHeader/>
        </w:trPr>
        <w:tc>
          <w:tcPr>
            <w:tcW w:w="6996" w:type="dxa"/>
            <w:shd w:val="clear" w:color="auto" w:fill="F2F2F2" w:themeFill="background1" w:themeFillShade="F2"/>
            <w:vAlign w:val="center"/>
          </w:tcPr>
          <w:p w14:paraId="0BAE3913" w14:textId="3D2F909E" w:rsidR="007154E2" w:rsidRPr="006561A1" w:rsidRDefault="007154E2" w:rsidP="006561A1">
            <w:pPr>
              <w:spacing w:line="276" w:lineRule="auto"/>
              <w:jc w:val="center"/>
              <w:rPr>
                <w:b/>
                <w:bCs/>
                <w:lang w:val="vi-VN"/>
              </w:rPr>
            </w:pPr>
            <w:r w:rsidRPr="006561A1">
              <w:rPr>
                <w:b/>
                <w:bCs/>
                <w:lang w:val="vi-VN"/>
              </w:rPr>
              <w:t>Nội dung dự thảo</w:t>
            </w:r>
          </w:p>
        </w:tc>
        <w:tc>
          <w:tcPr>
            <w:tcW w:w="7174" w:type="dxa"/>
            <w:shd w:val="clear" w:color="auto" w:fill="F2F2F2" w:themeFill="background1" w:themeFillShade="F2"/>
            <w:vAlign w:val="center"/>
          </w:tcPr>
          <w:p w14:paraId="35D03FCE" w14:textId="32CD7EA0" w:rsidR="007154E2" w:rsidRPr="006561A1" w:rsidRDefault="007154E2" w:rsidP="006561A1">
            <w:pPr>
              <w:spacing w:line="276" w:lineRule="auto"/>
              <w:jc w:val="center"/>
              <w:rPr>
                <w:b/>
                <w:bCs/>
                <w:lang w:val="vi-VN"/>
              </w:rPr>
            </w:pPr>
            <w:r w:rsidRPr="006561A1">
              <w:rPr>
                <w:b/>
                <w:bCs/>
                <w:lang w:val="vi-VN"/>
              </w:rPr>
              <w:t>Nội dung góp ý</w:t>
            </w:r>
          </w:p>
        </w:tc>
      </w:tr>
      <w:tr w:rsidR="007154E2" w:rsidRPr="006561A1" w14:paraId="3D9F7412" w14:textId="77777777" w:rsidTr="00D243F3">
        <w:tc>
          <w:tcPr>
            <w:tcW w:w="6996" w:type="dxa"/>
          </w:tcPr>
          <w:p w14:paraId="0DD6217F" w14:textId="33E493AB" w:rsidR="007154E2" w:rsidRPr="006561A1" w:rsidRDefault="0028212D" w:rsidP="006561A1">
            <w:pPr>
              <w:spacing w:after="120" w:line="276" w:lineRule="auto"/>
              <w:jc w:val="both"/>
              <w:rPr>
                <w:b/>
                <w:bCs/>
                <w:color w:val="153D63" w:themeColor="text2" w:themeTint="E6"/>
                <w:lang w:val="vi-VN"/>
              </w:rPr>
            </w:pPr>
            <w:r w:rsidRPr="006561A1">
              <w:rPr>
                <w:b/>
                <w:bCs/>
                <w:color w:val="153D63" w:themeColor="text2" w:themeTint="E6"/>
                <w:lang w:val="vi-VN"/>
              </w:rPr>
              <w:t>Điều 11. Các quy định chung về thành lập Hội đồng Trọng tài</w:t>
            </w:r>
          </w:p>
        </w:tc>
        <w:tc>
          <w:tcPr>
            <w:tcW w:w="7174" w:type="dxa"/>
          </w:tcPr>
          <w:p w14:paraId="6ACFB6A9" w14:textId="77777777" w:rsidR="007154E2" w:rsidRPr="006561A1" w:rsidRDefault="007154E2" w:rsidP="006561A1">
            <w:pPr>
              <w:spacing w:after="120" w:line="276" w:lineRule="auto"/>
              <w:jc w:val="center"/>
              <w:rPr>
                <w:lang w:val="vi-VN"/>
              </w:rPr>
            </w:pPr>
          </w:p>
        </w:tc>
      </w:tr>
      <w:tr w:rsidR="0028212D" w:rsidRPr="00D243F3" w14:paraId="50CE3EE2" w14:textId="77777777" w:rsidTr="00D243F3">
        <w:tc>
          <w:tcPr>
            <w:tcW w:w="6996" w:type="dxa"/>
          </w:tcPr>
          <w:p w14:paraId="6D9AD429" w14:textId="7034DB87" w:rsidR="0028212D" w:rsidRPr="006561A1" w:rsidRDefault="0028212D" w:rsidP="006561A1">
            <w:pPr>
              <w:spacing w:after="120" w:line="276" w:lineRule="auto"/>
              <w:jc w:val="both"/>
              <w:rPr>
                <w:lang w:val="vi-VN"/>
              </w:rPr>
            </w:pPr>
            <w:r w:rsidRPr="006561A1">
              <w:rPr>
                <w:lang w:val="vi-VN"/>
              </w:rPr>
              <w:t>1. Vụ tranh chấp được giải quyết bởi Hội đồng Trọng tài gồm ba Trọng tài viên hoặc Trọng tài viên duy nhất. Trong trường hợp các bên không có thỏa thuận vụ tranh chấp được giải quyết bởi Trọng tài viên duy nhất thì vụ tranh chấp được giải quyết bởi Hội đồng Trọng tài gồm ba Trọng tài viên.</w:t>
            </w:r>
          </w:p>
        </w:tc>
        <w:tc>
          <w:tcPr>
            <w:tcW w:w="7174" w:type="dxa"/>
          </w:tcPr>
          <w:p w14:paraId="67CA23DA" w14:textId="77777777" w:rsidR="0028212D" w:rsidRPr="006561A1" w:rsidRDefault="0028212D" w:rsidP="006561A1">
            <w:pPr>
              <w:spacing w:after="120" w:line="276" w:lineRule="auto"/>
              <w:jc w:val="center"/>
              <w:rPr>
                <w:lang w:val="vi-VN"/>
              </w:rPr>
            </w:pPr>
          </w:p>
        </w:tc>
      </w:tr>
      <w:tr w:rsidR="0028212D" w:rsidRPr="00D243F3" w14:paraId="43401198" w14:textId="77777777" w:rsidTr="00D243F3">
        <w:tc>
          <w:tcPr>
            <w:tcW w:w="6996" w:type="dxa"/>
          </w:tcPr>
          <w:p w14:paraId="6A5BA63E" w14:textId="6665D644" w:rsidR="0028212D" w:rsidRPr="006561A1" w:rsidRDefault="0028212D" w:rsidP="006561A1">
            <w:pPr>
              <w:spacing w:after="120" w:line="276" w:lineRule="auto"/>
              <w:jc w:val="both"/>
              <w:rPr>
                <w:lang w:val="vi-VN"/>
              </w:rPr>
            </w:pPr>
            <w:r w:rsidRPr="006561A1">
              <w:rPr>
                <w:lang w:val="vi-VN"/>
              </w:rPr>
              <w:t>2. Các bên có quyền lựa chọn người có tên hoặc không có tên trong Danh sách Trọng tài viên của Trung tâm làm Trọng tài viên giải quyết tranh chấp và phải cung cấp thông tin, tài liệu thể hiện người được lựa chọn đáp ứng tiêu chuẩn Trọng tài viên theo quy định của luật và quy định tại Quy tắc Đạo đức và Ứng xử nghề nghiệp của Trung tâm. Trường hợp các bên muốn lựa chọn người không có tên trong Danh sách Trọng tài viên của Trung tâm thì phải thông báo cho Trung tâm về thông tin liên lạc của người đó.</w:t>
            </w:r>
          </w:p>
        </w:tc>
        <w:tc>
          <w:tcPr>
            <w:tcW w:w="7174" w:type="dxa"/>
          </w:tcPr>
          <w:p w14:paraId="59058159" w14:textId="77777777" w:rsidR="0028212D" w:rsidRPr="006561A1" w:rsidRDefault="0028212D" w:rsidP="006561A1">
            <w:pPr>
              <w:spacing w:after="120" w:line="276" w:lineRule="auto"/>
              <w:jc w:val="center"/>
              <w:rPr>
                <w:lang w:val="vi-VN"/>
              </w:rPr>
            </w:pPr>
          </w:p>
        </w:tc>
      </w:tr>
      <w:tr w:rsidR="0028212D" w:rsidRPr="00D243F3" w14:paraId="78CDE237" w14:textId="77777777" w:rsidTr="00D243F3">
        <w:tc>
          <w:tcPr>
            <w:tcW w:w="6996" w:type="dxa"/>
          </w:tcPr>
          <w:p w14:paraId="5E92596C" w14:textId="4295BBCE" w:rsidR="0028212D" w:rsidRPr="006561A1" w:rsidRDefault="0028212D" w:rsidP="006561A1">
            <w:pPr>
              <w:spacing w:after="120" w:line="276" w:lineRule="auto"/>
              <w:jc w:val="both"/>
              <w:rPr>
                <w:lang w:val="vi-VN"/>
              </w:rPr>
            </w:pPr>
            <w:r w:rsidRPr="006561A1">
              <w:rPr>
                <w:lang w:val="vi-VN"/>
              </w:rPr>
              <w:t xml:space="preserve">3. Hội đồng Trọng tài sẽ được thành lập theo các quy định tại Quy tắc này, trừ khi các bên có thỏa thuận khác. </w:t>
            </w:r>
          </w:p>
        </w:tc>
        <w:tc>
          <w:tcPr>
            <w:tcW w:w="7174" w:type="dxa"/>
          </w:tcPr>
          <w:p w14:paraId="2F7D6664" w14:textId="77777777" w:rsidR="0028212D" w:rsidRPr="006561A1" w:rsidRDefault="0028212D" w:rsidP="006561A1">
            <w:pPr>
              <w:spacing w:after="120" w:line="276" w:lineRule="auto"/>
              <w:jc w:val="center"/>
              <w:rPr>
                <w:lang w:val="vi-VN"/>
              </w:rPr>
            </w:pPr>
          </w:p>
        </w:tc>
      </w:tr>
      <w:tr w:rsidR="0028212D" w:rsidRPr="00D243F3" w14:paraId="0D5EF940" w14:textId="77777777" w:rsidTr="00D243F3">
        <w:tc>
          <w:tcPr>
            <w:tcW w:w="6996" w:type="dxa"/>
          </w:tcPr>
          <w:p w14:paraId="4A25232B" w14:textId="0491F5DA" w:rsidR="0028212D" w:rsidRPr="006561A1" w:rsidRDefault="0028212D" w:rsidP="006561A1">
            <w:pPr>
              <w:spacing w:after="120" w:line="276" w:lineRule="auto"/>
              <w:jc w:val="both"/>
              <w:rPr>
                <w:lang w:val="vi-VN"/>
              </w:rPr>
            </w:pPr>
            <w:r w:rsidRPr="006561A1">
              <w:rPr>
                <w:lang w:val="vi-VN"/>
              </w:rPr>
              <w:t xml:space="preserve">4. Nếu các bên có thỏa thuận về thủ tục thành lập Hội đồng Trọng tài khác với thủ tục tại Điều 12 hoặc 13 của Quy tắc này, nhưng thủ tục đó thiếu công bằng một cách rõ ràng thì Chủ tịch Trung tâm có quyền quyết định thủ tục thành lập Hội đồng Trọng tài và/hoặc chỉ </w:t>
            </w:r>
            <w:r w:rsidRPr="006561A1">
              <w:rPr>
                <w:lang w:val="vi-VN"/>
              </w:rPr>
              <w:lastRenderedPageBreak/>
              <w:t>định bất kỳ thành viên nào của Hội đồng Trọng tài để đảm bảo sự công bằng giữa các bên trong việc thành lập Hội đồng Trọng tài.</w:t>
            </w:r>
          </w:p>
        </w:tc>
        <w:tc>
          <w:tcPr>
            <w:tcW w:w="7174" w:type="dxa"/>
          </w:tcPr>
          <w:p w14:paraId="0DC30336" w14:textId="77777777" w:rsidR="0028212D" w:rsidRPr="006561A1" w:rsidRDefault="0028212D" w:rsidP="006561A1">
            <w:pPr>
              <w:spacing w:after="120" w:line="276" w:lineRule="auto"/>
              <w:jc w:val="center"/>
              <w:rPr>
                <w:lang w:val="vi-VN"/>
              </w:rPr>
            </w:pPr>
          </w:p>
        </w:tc>
      </w:tr>
      <w:tr w:rsidR="0028212D" w:rsidRPr="00D243F3" w14:paraId="011D87A7" w14:textId="77777777" w:rsidTr="00D243F3">
        <w:tc>
          <w:tcPr>
            <w:tcW w:w="6996" w:type="dxa"/>
          </w:tcPr>
          <w:p w14:paraId="4647F703" w14:textId="23617D0B" w:rsidR="0028212D" w:rsidRPr="006561A1" w:rsidRDefault="0028212D" w:rsidP="006561A1">
            <w:pPr>
              <w:spacing w:after="120" w:line="276" w:lineRule="auto"/>
              <w:jc w:val="both"/>
              <w:rPr>
                <w:b/>
                <w:bCs/>
                <w:color w:val="153D63" w:themeColor="text2" w:themeTint="E6"/>
                <w:lang w:val="vi-VN"/>
              </w:rPr>
            </w:pPr>
            <w:r w:rsidRPr="006561A1">
              <w:rPr>
                <w:b/>
                <w:bCs/>
                <w:color w:val="153D63" w:themeColor="text2" w:themeTint="E6"/>
                <w:lang w:val="vi-VN"/>
              </w:rPr>
              <w:t>Điều 12: Hội đồng Trọng tài gồm ba trọng tài viên</w:t>
            </w:r>
          </w:p>
        </w:tc>
        <w:tc>
          <w:tcPr>
            <w:tcW w:w="7174" w:type="dxa"/>
          </w:tcPr>
          <w:p w14:paraId="51DC07A1" w14:textId="77777777" w:rsidR="0028212D" w:rsidRPr="006561A1" w:rsidRDefault="0028212D" w:rsidP="006561A1">
            <w:pPr>
              <w:spacing w:after="120" w:line="276" w:lineRule="auto"/>
              <w:jc w:val="center"/>
              <w:rPr>
                <w:lang w:val="vi-VN"/>
              </w:rPr>
            </w:pPr>
          </w:p>
        </w:tc>
      </w:tr>
      <w:tr w:rsidR="0028212D" w:rsidRPr="00D243F3" w14:paraId="72AEE71A" w14:textId="77777777" w:rsidTr="00D243F3">
        <w:tc>
          <w:tcPr>
            <w:tcW w:w="6996" w:type="dxa"/>
          </w:tcPr>
          <w:p w14:paraId="19E110BB" w14:textId="6D36B895" w:rsidR="0028212D" w:rsidRPr="006561A1" w:rsidRDefault="0028212D" w:rsidP="006561A1">
            <w:pPr>
              <w:spacing w:after="120" w:line="276" w:lineRule="auto"/>
              <w:jc w:val="both"/>
              <w:rPr>
                <w:lang w:val="vi-VN"/>
              </w:rPr>
            </w:pPr>
            <w:r w:rsidRPr="006561A1">
              <w:rPr>
                <w:lang w:val="vi-VN"/>
              </w:rPr>
              <w:t>Trừ khi các bên có thỏa thuận khác về bất cứ nội dung nào hoặc toàn bộ quy trình thành lập ra Hội đồng Trọng tài, việc thành lập Hội đồng Trọng tài gồm ba Trọng tài viên được thực hiện theo quy trình như sau:</w:t>
            </w:r>
          </w:p>
        </w:tc>
        <w:tc>
          <w:tcPr>
            <w:tcW w:w="7174" w:type="dxa"/>
          </w:tcPr>
          <w:p w14:paraId="6A4BA2BC" w14:textId="77777777" w:rsidR="0028212D" w:rsidRPr="006561A1" w:rsidRDefault="0028212D" w:rsidP="006561A1">
            <w:pPr>
              <w:spacing w:after="120" w:line="276" w:lineRule="auto"/>
              <w:jc w:val="center"/>
              <w:rPr>
                <w:lang w:val="vi-VN"/>
              </w:rPr>
            </w:pPr>
          </w:p>
        </w:tc>
      </w:tr>
      <w:tr w:rsidR="0028212D" w:rsidRPr="00D243F3" w14:paraId="185C32D9" w14:textId="77777777" w:rsidTr="00D243F3">
        <w:tc>
          <w:tcPr>
            <w:tcW w:w="6996" w:type="dxa"/>
          </w:tcPr>
          <w:p w14:paraId="67E98E66" w14:textId="0E4003A4" w:rsidR="0028212D" w:rsidRPr="006561A1" w:rsidRDefault="0028212D" w:rsidP="006561A1">
            <w:pPr>
              <w:spacing w:after="120" w:line="276" w:lineRule="auto"/>
              <w:jc w:val="both"/>
              <w:rPr>
                <w:lang w:val="vi-VN"/>
              </w:rPr>
            </w:pPr>
            <w:r w:rsidRPr="006561A1">
              <w:rPr>
                <w:lang w:val="vi-VN"/>
              </w:rPr>
              <w:t>1. Nguyên đơn phải chọn một Trọng tài viên hoặc đề nghị Chủ tịch Trung tâm chỉ định một Trọng tài viên tại Đơn khởi kiện. Trong trường hợp có nhiều Nguyên đơn thì các Nguyên đơn phải thống nhất chọn một Trọng tài viên hoặc thống nhất đề nghị Chủ tịch Trung tâm chỉ định một Trọng tài viên tại Đơn khởi kiện.</w:t>
            </w:r>
          </w:p>
        </w:tc>
        <w:tc>
          <w:tcPr>
            <w:tcW w:w="7174" w:type="dxa"/>
          </w:tcPr>
          <w:p w14:paraId="0608BD8B" w14:textId="77777777" w:rsidR="0028212D" w:rsidRPr="006561A1" w:rsidRDefault="0028212D" w:rsidP="006561A1">
            <w:pPr>
              <w:spacing w:after="120" w:line="276" w:lineRule="auto"/>
              <w:jc w:val="center"/>
              <w:rPr>
                <w:lang w:val="vi-VN"/>
              </w:rPr>
            </w:pPr>
          </w:p>
        </w:tc>
      </w:tr>
      <w:tr w:rsidR="0028212D" w:rsidRPr="00D243F3" w14:paraId="627A049B" w14:textId="77777777" w:rsidTr="00D243F3">
        <w:tc>
          <w:tcPr>
            <w:tcW w:w="6996" w:type="dxa"/>
          </w:tcPr>
          <w:p w14:paraId="25769956" w14:textId="40F45B47" w:rsidR="0028212D" w:rsidRPr="006561A1" w:rsidRDefault="0028212D" w:rsidP="006561A1">
            <w:pPr>
              <w:spacing w:after="120" w:line="276" w:lineRule="auto"/>
              <w:jc w:val="both"/>
              <w:rPr>
                <w:lang w:val="vi-VN"/>
              </w:rPr>
            </w:pPr>
            <w:r w:rsidRPr="006561A1">
              <w:rPr>
                <w:lang w:val="vi-VN"/>
              </w:rPr>
              <w:t>2. Bị đơn phải chọn một Trọng tài viên hoặc đề nghị Chủ tịch Trung tâm chỉ định một Trọng tài viên và phải thông báo cho Trung tâm trong thời hạn 30 ngày kể từ ngày tiếp theo ngày nhận được Thông báo, Đơn khởi kiện, thỏa thuận trọng tài và các tài liệu có liên quan. Trong trường hợp có nhiều Bị đơn thì các Bị đơn phải thống nhất chọn một Trọng tài viên thống nhất đề nghị Chủ tịch Trung tâm chỉ định một Trọng tài viên; và thời hạn 30 ngày tính từ ngày tiếp theo ngày Bị đơn cuối cùng nhận được hoặc coi là đã nhận được Thông báo, Đơn khởi kiện, thỏa thuận trọng tài và các tài liệu có liên quan.</w:t>
            </w:r>
          </w:p>
        </w:tc>
        <w:tc>
          <w:tcPr>
            <w:tcW w:w="7174" w:type="dxa"/>
          </w:tcPr>
          <w:p w14:paraId="51E53DA0" w14:textId="77777777" w:rsidR="0028212D" w:rsidRPr="006561A1" w:rsidRDefault="0028212D" w:rsidP="006561A1">
            <w:pPr>
              <w:spacing w:after="120" w:line="276" w:lineRule="auto"/>
              <w:jc w:val="center"/>
              <w:rPr>
                <w:lang w:val="vi-VN"/>
              </w:rPr>
            </w:pPr>
          </w:p>
        </w:tc>
      </w:tr>
      <w:tr w:rsidR="0028212D" w:rsidRPr="00D243F3" w14:paraId="43CB6D1E" w14:textId="77777777" w:rsidTr="00D243F3">
        <w:tc>
          <w:tcPr>
            <w:tcW w:w="6996" w:type="dxa"/>
          </w:tcPr>
          <w:p w14:paraId="17FB19F8" w14:textId="100CEC9A" w:rsidR="0028212D" w:rsidRPr="006561A1" w:rsidRDefault="0028212D" w:rsidP="006561A1">
            <w:pPr>
              <w:spacing w:after="120" w:line="276" w:lineRule="auto"/>
              <w:jc w:val="both"/>
              <w:rPr>
                <w:lang w:val="vi-VN"/>
              </w:rPr>
            </w:pPr>
            <w:r w:rsidRPr="006561A1">
              <w:rPr>
                <w:lang w:val="vi-VN"/>
              </w:rPr>
              <w:lastRenderedPageBreak/>
              <w:t>3. Khi có yêu cầu của một hoặc các Bên về việc chỉ định Trọng tài viên, Chủ tịch Trung tâm sẽ chỉ định Trọng tài viên trong thời hạn 07 ngày kể từ ngày nhận được yêu cầu này.</w:t>
            </w:r>
          </w:p>
        </w:tc>
        <w:tc>
          <w:tcPr>
            <w:tcW w:w="7174" w:type="dxa"/>
          </w:tcPr>
          <w:p w14:paraId="17200E25" w14:textId="77777777" w:rsidR="0028212D" w:rsidRPr="006561A1" w:rsidRDefault="0028212D" w:rsidP="006561A1">
            <w:pPr>
              <w:spacing w:after="120" w:line="276" w:lineRule="auto"/>
              <w:jc w:val="center"/>
              <w:rPr>
                <w:lang w:val="vi-VN"/>
              </w:rPr>
            </w:pPr>
          </w:p>
        </w:tc>
      </w:tr>
      <w:tr w:rsidR="0028212D" w:rsidRPr="00D243F3" w14:paraId="32E6B030" w14:textId="77777777" w:rsidTr="00D243F3">
        <w:tc>
          <w:tcPr>
            <w:tcW w:w="6996" w:type="dxa"/>
          </w:tcPr>
          <w:p w14:paraId="31EB8D89" w14:textId="31FB4936" w:rsidR="0028212D" w:rsidRPr="006561A1" w:rsidRDefault="0028212D" w:rsidP="006561A1">
            <w:pPr>
              <w:spacing w:after="120" w:line="276" w:lineRule="auto"/>
              <w:jc w:val="both"/>
              <w:rPr>
                <w:lang w:val="vi-VN"/>
              </w:rPr>
            </w:pPr>
            <w:r w:rsidRPr="006561A1">
              <w:rPr>
                <w:lang w:val="vi-VN"/>
              </w:rPr>
              <w:t>4. Nếu Bị đơn không thực hiện việc lựa chọn Trọng tài viên như tại Khoản 2 trên đây, trong thời hạn 07 ngày kể từ ngày hết thời hạn, Chủ tịch Trung tâm chỉ định một Trọng tài viên thay Bị đơn.</w:t>
            </w:r>
          </w:p>
        </w:tc>
        <w:tc>
          <w:tcPr>
            <w:tcW w:w="7174" w:type="dxa"/>
          </w:tcPr>
          <w:p w14:paraId="34A18135" w14:textId="77777777" w:rsidR="0028212D" w:rsidRPr="006561A1" w:rsidRDefault="0028212D" w:rsidP="006561A1">
            <w:pPr>
              <w:spacing w:after="120" w:line="276" w:lineRule="auto"/>
              <w:jc w:val="center"/>
              <w:rPr>
                <w:lang w:val="vi-VN"/>
              </w:rPr>
            </w:pPr>
          </w:p>
        </w:tc>
      </w:tr>
      <w:tr w:rsidR="0028212D" w:rsidRPr="00D243F3" w14:paraId="6A510AB3" w14:textId="77777777" w:rsidTr="00D243F3">
        <w:tc>
          <w:tcPr>
            <w:tcW w:w="6996" w:type="dxa"/>
          </w:tcPr>
          <w:p w14:paraId="738B08A6" w14:textId="11F6CC82" w:rsidR="0028212D" w:rsidRPr="006561A1" w:rsidRDefault="0028212D" w:rsidP="006561A1">
            <w:pPr>
              <w:spacing w:after="120" w:line="276" w:lineRule="auto"/>
              <w:jc w:val="both"/>
              <w:rPr>
                <w:lang w:val="vi-VN"/>
              </w:rPr>
            </w:pPr>
            <w:r w:rsidRPr="006561A1">
              <w:rPr>
                <w:lang w:val="vi-VN"/>
              </w:rPr>
              <w:t>5. Trong thời hạn 15 ngày kể từ ngày Trọng tài viên được Bị đơn chọn hoặc được Chủ tịch Trung tâm chỉ định thay cho Bị đơn nhận được thông báo về việc được chọn hoặc được chỉ định làm Trọng tài viên, các Trọng tài viên phải bầu Chủ tịch Hội đồng Trọng tài và thông báo cho Trung tâm. Hết thời hạn này mà Trung tâm không nhận được thông báo về việc bầu Chủ tịch Hội đồng Trọng tài thì trong thời hạn 07 ngày kể từ ngày hết thời hạn, Chủ tịch Trung tâm ra quyết định chỉ định Chủ tịch Hội đồng Trọng tài.</w:t>
            </w:r>
          </w:p>
        </w:tc>
        <w:tc>
          <w:tcPr>
            <w:tcW w:w="7174" w:type="dxa"/>
          </w:tcPr>
          <w:p w14:paraId="37D7BBEB" w14:textId="77777777" w:rsidR="0028212D" w:rsidRPr="006561A1" w:rsidRDefault="0028212D" w:rsidP="006561A1">
            <w:pPr>
              <w:spacing w:after="120" w:line="276" w:lineRule="auto"/>
              <w:jc w:val="center"/>
              <w:rPr>
                <w:lang w:val="vi-VN"/>
              </w:rPr>
            </w:pPr>
          </w:p>
        </w:tc>
      </w:tr>
      <w:tr w:rsidR="0028212D" w:rsidRPr="00D243F3" w14:paraId="6A149836" w14:textId="77777777" w:rsidTr="00D243F3">
        <w:tc>
          <w:tcPr>
            <w:tcW w:w="6996" w:type="dxa"/>
          </w:tcPr>
          <w:p w14:paraId="2048E989" w14:textId="5E656511" w:rsidR="0028212D" w:rsidRPr="006561A1" w:rsidRDefault="0028212D" w:rsidP="006561A1">
            <w:pPr>
              <w:spacing w:after="120" w:line="276" w:lineRule="auto"/>
              <w:jc w:val="both"/>
              <w:rPr>
                <w:lang w:val="vi-VN"/>
              </w:rPr>
            </w:pPr>
            <w:r w:rsidRPr="006561A1">
              <w:rPr>
                <w:lang w:val="vi-VN"/>
              </w:rPr>
              <w:t>6. Trường các bên có thỏa thuận khác về thủ tục, quy trình thành lập Hội đồng Trọng tài gồm ba Trọng tài viên nhưng thỏa thuận đó thiếu đi bất cứ phần nào trong quy trình nêu tại Khoản 1, 2, 3, 4 và 5 trên đây thì các quy định của Điều 12 này sẽ được áp dụng.</w:t>
            </w:r>
          </w:p>
        </w:tc>
        <w:tc>
          <w:tcPr>
            <w:tcW w:w="7174" w:type="dxa"/>
          </w:tcPr>
          <w:p w14:paraId="2833E63E" w14:textId="77777777" w:rsidR="0028212D" w:rsidRPr="006561A1" w:rsidRDefault="0028212D" w:rsidP="006561A1">
            <w:pPr>
              <w:spacing w:after="120" w:line="276" w:lineRule="auto"/>
              <w:jc w:val="center"/>
              <w:rPr>
                <w:lang w:val="vi-VN"/>
              </w:rPr>
            </w:pPr>
          </w:p>
        </w:tc>
      </w:tr>
      <w:tr w:rsidR="0028212D" w:rsidRPr="00D243F3" w14:paraId="3CBEB22A" w14:textId="77777777" w:rsidTr="00D243F3">
        <w:tc>
          <w:tcPr>
            <w:tcW w:w="6996" w:type="dxa"/>
          </w:tcPr>
          <w:p w14:paraId="5FE5888D" w14:textId="1D94220F" w:rsidR="0028212D" w:rsidRPr="006561A1" w:rsidRDefault="0028212D" w:rsidP="006561A1">
            <w:pPr>
              <w:spacing w:after="120" w:line="276" w:lineRule="auto"/>
              <w:jc w:val="both"/>
              <w:rPr>
                <w:b/>
                <w:bCs/>
                <w:color w:val="153D63" w:themeColor="text2" w:themeTint="E6"/>
                <w:lang w:val="vi-VN"/>
              </w:rPr>
            </w:pPr>
            <w:r w:rsidRPr="006561A1">
              <w:rPr>
                <w:b/>
                <w:bCs/>
                <w:color w:val="153D63" w:themeColor="text2" w:themeTint="E6"/>
                <w:lang w:val="vi-VN"/>
              </w:rPr>
              <w:t>Điều 13. Hội đồng Trọng tài gồm Trọng tài viên duy nhất</w:t>
            </w:r>
          </w:p>
        </w:tc>
        <w:tc>
          <w:tcPr>
            <w:tcW w:w="7174" w:type="dxa"/>
          </w:tcPr>
          <w:p w14:paraId="03B4737A" w14:textId="77777777" w:rsidR="0028212D" w:rsidRPr="006561A1" w:rsidRDefault="0028212D" w:rsidP="006561A1">
            <w:pPr>
              <w:spacing w:after="120" w:line="276" w:lineRule="auto"/>
              <w:jc w:val="center"/>
              <w:rPr>
                <w:lang w:val="vi-VN"/>
              </w:rPr>
            </w:pPr>
          </w:p>
        </w:tc>
      </w:tr>
      <w:tr w:rsidR="0028212D" w:rsidRPr="00D243F3" w14:paraId="09448087" w14:textId="77777777" w:rsidTr="00D243F3">
        <w:tc>
          <w:tcPr>
            <w:tcW w:w="6996" w:type="dxa"/>
          </w:tcPr>
          <w:p w14:paraId="500CDCA5" w14:textId="77202841" w:rsidR="0028212D" w:rsidRPr="006561A1" w:rsidRDefault="0028212D" w:rsidP="006561A1">
            <w:pPr>
              <w:spacing w:after="120" w:line="276" w:lineRule="auto"/>
              <w:jc w:val="both"/>
              <w:rPr>
                <w:lang w:val="vi-VN"/>
              </w:rPr>
            </w:pPr>
            <w:r w:rsidRPr="006561A1">
              <w:rPr>
                <w:lang w:val="vi-VN"/>
              </w:rPr>
              <w:t>Trừ khi các bên có thỏa thuận khác về bất cứ nội dung nào hoặc toàn bộ quy trình lựa chọn hoặc chỉ định Trọng tài duy nhất  được thực hiện theo quy trình như sau:</w:t>
            </w:r>
          </w:p>
        </w:tc>
        <w:tc>
          <w:tcPr>
            <w:tcW w:w="7174" w:type="dxa"/>
          </w:tcPr>
          <w:p w14:paraId="18798733" w14:textId="77777777" w:rsidR="0028212D" w:rsidRPr="006561A1" w:rsidRDefault="0028212D" w:rsidP="006561A1">
            <w:pPr>
              <w:spacing w:after="120" w:line="276" w:lineRule="auto"/>
              <w:jc w:val="center"/>
              <w:rPr>
                <w:lang w:val="vi-VN"/>
              </w:rPr>
            </w:pPr>
          </w:p>
        </w:tc>
      </w:tr>
      <w:tr w:rsidR="0028212D" w:rsidRPr="00D243F3" w14:paraId="23715212" w14:textId="77777777" w:rsidTr="00D243F3">
        <w:tc>
          <w:tcPr>
            <w:tcW w:w="6996" w:type="dxa"/>
          </w:tcPr>
          <w:p w14:paraId="2B226283" w14:textId="54B92450" w:rsidR="0028212D" w:rsidRPr="006561A1" w:rsidRDefault="0028212D" w:rsidP="006561A1">
            <w:pPr>
              <w:spacing w:after="120" w:line="276" w:lineRule="auto"/>
              <w:jc w:val="both"/>
              <w:rPr>
                <w:lang w:val="vi-VN"/>
              </w:rPr>
            </w:pPr>
            <w:r w:rsidRPr="006561A1">
              <w:rPr>
                <w:lang w:val="vi-VN"/>
              </w:rPr>
              <w:lastRenderedPageBreak/>
              <w:t xml:space="preserve">1. Trong thời hạn 30 ngày kể từ ngày tiếp theo của ngày Bị đơn nhận được Thông báo, Đơn khởi kiện, thỏa thuận trọng tài và các tài liệu khác có liên quan, Nguyên đơn và Bị đơn phải thống nhất chọn Trọng tài viên duy nhất hoặc yêu cầu Trung tâm chỉ định Trọng tài viên duy nhất và phải thông báo cho Trung tâm. </w:t>
            </w:r>
          </w:p>
        </w:tc>
        <w:tc>
          <w:tcPr>
            <w:tcW w:w="7174" w:type="dxa"/>
          </w:tcPr>
          <w:p w14:paraId="612A00E6" w14:textId="77777777" w:rsidR="0028212D" w:rsidRPr="006561A1" w:rsidRDefault="0028212D" w:rsidP="006561A1">
            <w:pPr>
              <w:spacing w:after="120" w:line="276" w:lineRule="auto"/>
              <w:jc w:val="center"/>
              <w:rPr>
                <w:lang w:val="vi-VN"/>
              </w:rPr>
            </w:pPr>
          </w:p>
        </w:tc>
      </w:tr>
      <w:tr w:rsidR="0028212D" w:rsidRPr="00D243F3" w14:paraId="74C40A2D" w14:textId="77777777" w:rsidTr="00D243F3">
        <w:tc>
          <w:tcPr>
            <w:tcW w:w="6996" w:type="dxa"/>
          </w:tcPr>
          <w:p w14:paraId="71869C35" w14:textId="50B06742" w:rsidR="0028212D" w:rsidRPr="006561A1" w:rsidRDefault="0028212D" w:rsidP="006561A1">
            <w:pPr>
              <w:spacing w:after="120" w:line="276" w:lineRule="auto"/>
              <w:jc w:val="both"/>
              <w:rPr>
                <w:lang w:val="vi-VN"/>
              </w:rPr>
            </w:pPr>
            <w:r w:rsidRPr="006561A1">
              <w:rPr>
                <w:lang w:val="vi-VN"/>
              </w:rPr>
              <w:t>2. Trong trường hợp Trung tâm không nhận được thông báo này, trong thời hạn 07 ngày kể từ ngày hết thời hạn 30 ngày nêu trên, Chủ tịch Trung tâm ra quyết định chỉ định Trọng tài viên duy nhất.</w:t>
            </w:r>
          </w:p>
        </w:tc>
        <w:tc>
          <w:tcPr>
            <w:tcW w:w="7174" w:type="dxa"/>
          </w:tcPr>
          <w:p w14:paraId="5423997C" w14:textId="77777777" w:rsidR="0028212D" w:rsidRPr="006561A1" w:rsidRDefault="0028212D" w:rsidP="006561A1">
            <w:pPr>
              <w:spacing w:after="120" w:line="276" w:lineRule="auto"/>
              <w:jc w:val="center"/>
              <w:rPr>
                <w:lang w:val="vi-VN"/>
              </w:rPr>
            </w:pPr>
          </w:p>
        </w:tc>
      </w:tr>
      <w:tr w:rsidR="0028212D" w:rsidRPr="00D243F3" w14:paraId="2162803C" w14:textId="77777777" w:rsidTr="00D243F3">
        <w:tc>
          <w:tcPr>
            <w:tcW w:w="6996" w:type="dxa"/>
          </w:tcPr>
          <w:p w14:paraId="5381DDC6" w14:textId="7F654398" w:rsidR="0028212D" w:rsidRPr="006561A1" w:rsidRDefault="0028212D" w:rsidP="006561A1">
            <w:pPr>
              <w:spacing w:after="120" w:line="276" w:lineRule="auto"/>
              <w:jc w:val="both"/>
              <w:rPr>
                <w:lang w:val="vi-VN"/>
              </w:rPr>
            </w:pPr>
            <w:r w:rsidRPr="006561A1">
              <w:rPr>
                <w:lang w:val="vi-VN"/>
              </w:rPr>
              <w:t>3. Trọng tài viên duy nhất giải quyết vụ tranh chấp theo thủ tục rút gọn tại Điều 37 trừ phi các bên thỏa thuận khác.</w:t>
            </w:r>
          </w:p>
        </w:tc>
        <w:tc>
          <w:tcPr>
            <w:tcW w:w="7174" w:type="dxa"/>
          </w:tcPr>
          <w:p w14:paraId="3825E8D8" w14:textId="77777777" w:rsidR="0028212D" w:rsidRPr="006561A1" w:rsidRDefault="0028212D" w:rsidP="006561A1">
            <w:pPr>
              <w:spacing w:after="120" w:line="276" w:lineRule="auto"/>
              <w:jc w:val="center"/>
              <w:rPr>
                <w:lang w:val="vi-VN"/>
              </w:rPr>
            </w:pPr>
          </w:p>
        </w:tc>
      </w:tr>
      <w:tr w:rsidR="0028212D" w:rsidRPr="00D243F3" w14:paraId="18127F3D" w14:textId="77777777" w:rsidTr="00D243F3">
        <w:tc>
          <w:tcPr>
            <w:tcW w:w="6996" w:type="dxa"/>
          </w:tcPr>
          <w:p w14:paraId="632824F0" w14:textId="554DF262" w:rsidR="0028212D" w:rsidRPr="006561A1" w:rsidRDefault="0028212D" w:rsidP="006561A1">
            <w:pPr>
              <w:spacing w:after="120" w:line="276" w:lineRule="auto"/>
              <w:jc w:val="both"/>
              <w:rPr>
                <w:b/>
                <w:bCs/>
                <w:color w:val="153D63" w:themeColor="text2" w:themeTint="E6"/>
                <w:lang w:val="vi-VN"/>
              </w:rPr>
            </w:pPr>
            <w:r w:rsidRPr="006561A1">
              <w:rPr>
                <w:b/>
                <w:bCs/>
                <w:color w:val="153D63" w:themeColor="text2" w:themeTint="E6"/>
                <w:lang w:val="vi-VN"/>
              </w:rPr>
              <w:t xml:space="preserve">Điều 16: Các quy định chung đối với Trọng tài viên </w:t>
            </w:r>
          </w:p>
        </w:tc>
        <w:tc>
          <w:tcPr>
            <w:tcW w:w="7174" w:type="dxa"/>
          </w:tcPr>
          <w:p w14:paraId="161E00D4" w14:textId="77777777" w:rsidR="0028212D" w:rsidRPr="006561A1" w:rsidRDefault="0028212D" w:rsidP="006561A1">
            <w:pPr>
              <w:spacing w:after="120" w:line="276" w:lineRule="auto"/>
              <w:jc w:val="center"/>
              <w:rPr>
                <w:lang w:val="vi-VN"/>
              </w:rPr>
            </w:pPr>
          </w:p>
        </w:tc>
      </w:tr>
      <w:tr w:rsidR="0028212D" w:rsidRPr="00D243F3" w14:paraId="1427D4E9" w14:textId="77777777" w:rsidTr="00D243F3">
        <w:tc>
          <w:tcPr>
            <w:tcW w:w="6996" w:type="dxa"/>
          </w:tcPr>
          <w:p w14:paraId="33E92600" w14:textId="3AF88DFA" w:rsidR="0028212D" w:rsidRPr="006561A1" w:rsidRDefault="00724630" w:rsidP="006561A1">
            <w:pPr>
              <w:spacing w:after="120" w:line="276" w:lineRule="auto"/>
              <w:jc w:val="both"/>
              <w:rPr>
                <w:lang w:val="vi-VN"/>
              </w:rPr>
            </w:pPr>
            <w:r w:rsidRPr="006561A1">
              <w:rPr>
                <w:lang w:val="vi-VN"/>
              </w:rPr>
              <w:t>1. Trọng tài viên phải luôn độc lập, vô tư và khách quan với các bên trong vụ Vụ tranh chấp, không được hành động như là luật sư của Nguyên đơn hay của Bị đơn trong toàn bộ quá trình tố tụng trọng tài.</w:t>
            </w:r>
          </w:p>
        </w:tc>
        <w:tc>
          <w:tcPr>
            <w:tcW w:w="7174" w:type="dxa"/>
          </w:tcPr>
          <w:p w14:paraId="1263A7C4" w14:textId="77777777" w:rsidR="0028212D" w:rsidRPr="006561A1" w:rsidRDefault="0028212D" w:rsidP="006561A1">
            <w:pPr>
              <w:spacing w:after="120" w:line="276" w:lineRule="auto"/>
              <w:jc w:val="center"/>
              <w:rPr>
                <w:lang w:val="vi-VN"/>
              </w:rPr>
            </w:pPr>
          </w:p>
        </w:tc>
      </w:tr>
      <w:tr w:rsidR="00724630" w:rsidRPr="00D243F3" w14:paraId="2C63C1F8" w14:textId="77777777" w:rsidTr="00D243F3">
        <w:tc>
          <w:tcPr>
            <w:tcW w:w="6996" w:type="dxa"/>
          </w:tcPr>
          <w:p w14:paraId="7A3E7329" w14:textId="017DBF9D" w:rsidR="00724630" w:rsidRPr="006561A1" w:rsidRDefault="00724630" w:rsidP="006561A1">
            <w:pPr>
              <w:spacing w:after="120" w:line="276" w:lineRule="auto"/>
              <w:jc w:val="both"/>
              <w:rPr>
                <w:lang w:val="vi-VN"/>
              </w:rPr>
            </w:pPr>
            <w:r w:rsidRPr="006561A1">
              <w:rPr>
                <w:lang w:val="vi-VN"/>
              </w:rPr>
              <w:t xml:space="preserve">2. Trước khi chấp nhận làm trọng tài viên, người được chọn hoặc được chỉ định làm Trọng tài viên phải thông báo kịp thời cho Trung tâm về bất kỳ tình tiết có thể ảnh hưởng đến tính khách quan, vô tư của mình bằng việc cẩn trọng rà soát và ký vào Bản tuyên bố trọng tài viên của Trung tâm. Trung tâm sẽ thông báo cho các bên thông tin công khai của trọng tài viên và ấn định thời hạn để các bên có ý kiến đối với thông tin công khai nêu trên. Trọng tài viên tiếp tục thực </w:t>
            </w:r>
            <w:r w:rsidRPr="006561A1">
              <w:rPr>
                <w:lang w:val="vi-VN"/>
              </w:rPr>
              <w:lastRenderedPageBreak/>
              <w:t>hiện nghĩa vụ công khai thông tin nêu trên trong suốt quá trình tố tụng trọng tài</w:t>
            </w:r>
          </w:p>
        </w:tc>
        <w:tc>
          <w:tcPr>
            <w:tcW w:w="7174" w:type="dxa"/>
          </w:tcPr>
          <w:p w14:paraId="48D4F264" w14:textId="77777777" w:rsidR="00724630" w:rsidRPr="006561A1" w:rsidRDefault="00724630" w:rsidP="006561A1">
            <w:pPr>
              <w:spacing w:after="120" w:line="276" w:lineRule="auto"/>
              <w:jc w:val="center"/>
              <w:rPr>
                <w:lang w:val="vi-VN"/>
              </w:rPr>
            </w:pPr>
          </w:p>
        </w:tc>
      </w:tr>
      <w:tr w:rsidR="00724630" w:rsidRPr="00D243F3" w14:paraId="444E459F" w14:textId="77777777" w:rsidTr="00D243F3">
        <w:tc>
          <w:tcPr>
            <w:tcW w:w="6996" w:type="dxa"/>
          </w:tcPr>
          <w:p w14:paraId="2FCB524C" w14:textId="77777777" w:rsidR="00724630" w:rsidRPr="006561A1" w:rsidRDefault="00724630" w:rsidP="006561A1">
            <w:pPr>
              <w:spacing w:after="120" w:line="276" w:lineRule="auto"/>
              <w:jc w:val="both"/>
              <w:rPr>
                <w:lang w:val="vi-VN"/>
              </w:rPr>
            </w:pPr>
            <w:r w:rsidRPr="006561A1">
              <w:rPr>
                <w:lang w:val="vi-VN"/>
              </w:rPr>
              <w:t>3. Người được chọn hoặc được chỉ định làm Trọng tài viên không được làm Trọng tài viên; hoặc người đang làm trọng tài viên phải từ chối giải quyết tranh chấp trong các trường hợp sau:</w:t>
            </w:r>
          </w:p>
          <w:p w14:paraId="2620E894" w14:textId="77777777" w:rsidR="00724630" w:rsidRPr="006561A1" w:rsidRDefault="00724630" w:rsidP="006561A1">
            <w:pPr>
              <w:spacing w:after="120" w:line="276" w:lineRule="auto"/>
              <w:jc w:val="both"/>
              <w:rPr>
                <w:lang w:val="vi-VN"/>
              </w:rPr>
            </w:pPr>
            <w:r w:rsidRPr="006561A1">
              <w:rPr>
                <w:lang w:val="vi-VN"/>
              </w:rPr>
              <w:t>a) Không đáp ứng tiêu chuẩn Trọng tài viên theo pháp luật trọng tài có hiệu lực tại thời điểm tiến hành thủ tục chọn hoặc chỉ định trọng tài viên;</w:t>
            </w:r>
          </w:p>
          <w:p w14:paraId="57874DBB" w14:textId="77777777" w:rsidR="00724630" w:rsidRPr="006561A1" w:rsidRDefault="00724630" w:rsidP="006561A1">
            <w:pPr>
              <w:spacing w:after="120" w:line="276" w:lineRule="auto"/>
              <w:jc w:val="both"/>
              <w:rPr>
                <w:lang w:val="vi-VN"/>
              </w:rPr>
            </w:pPr>
            <w:r w:rsidRPr="006561A1">
              <w:rPr>
                <w:lang w:val="vi-VN"/>
              </w:rPr>
              <w:t>b) Không đáp ứng tiêu chuẩn Trọng tài viên tham gia giải quyết tranh chấp tại Trung tâm quy đinh tại Quy tắc Đạo đức và Ứng xử nghề nghiệp của Trọng tài viên do Trung tâm ban hành có hiệu lực ở thời điểm được chọn hoặc được chỉ định.</w:t>
            </w:r>
          </w:p>
          <w:p w14:paraId="7CBDE236" w14:textId="77777777" w:rsidR="00724630" w:rsidRPr="006561A1" w:rsidRDefault="00724630" w:rsidP="006561A1">
            <w:pPr>
              <w:spacing w:after="120" w:line="276" w:lineRule="auto"/>
              <w:jc w:val="both"/>
              <w:rPr>
                <w:lang w:val="vi-VN"/>
              </w:rPr>
            </w:pPr>
            <w:r w:rsidRPr="006561A1">
              <w:rPr>
                <w:lang w:val="vi-VN"/>
              </w:rPr>
              <w:t>c) Là người thân thích hoặc là người đại diện của một bên;</w:t>
            </w:r>
          </w:p>
          <w:p w14:paraId="1B9C254F" w14:textId="77777777" w:rsidR="00724630" w:rsidRPr="006561A1" w:rsidRDefault="00724630" w:rsidP="006561A1">
            <w:pPr>
              <w:spacing w:after="120" w:line="276" w:lineRule="auto"/>
              <w:jc w:val="both"/>
              <w:rPr>
                <w:lang w:val="vi-VN"/>
              </w:rPr>
            </w:pPr>
            <w:r w:rsidRPr="006561A1">
              <w:rPr>
                <w:lang w:val="vi-VN"/>
              </w:rPr>
              <w:t>d) Có lợi ích liên quan trong vụ tranh chấp;</w:t>
            </w:r>
          </w:p>
          <w:p w14:paraId="50500C8F" w14:textId="77777777" w:rsidR="00724630" w:rsidRPr="006561A1" w:rsidRDefault="00724630" w:rsidP="006561A1">
            <w:pPr>
              <w:spacing w:after="120" w:line="276" w:lineRule="auto"/>
              <w:jc w:val="both"/>
              <w:rPr>
                <w:lang w:val="vi-VN"/>
              </w:rPr>
            </w:pPr>
            <w:r w:rsidRPr="006561A1">
              <w:rPr>
                <w:lang w:val="vi-VN"/>
              </w:rPr>
              <w:t>đ)  Có căn cứ rõ ràng cho thấy Trọng tài viên không vô tư, độc lập hoặc không khách quan;</w:t>
            </w:r>
          </w:p>
          <w:p w14:paraId="4F93729D" w14:textId="058D897A" w:rsidR="00724630" w:rsidRPr="006561A1" w:rsidRDefault="00724630" w:rsidP="006561A1">
            <w:pPr>
              <w:spacing w:after="120" w:line="276" w:lineRule="auto"/>
              <w:jc w:val="both"/>
              <w:rPr>
                <w:lang w:val="vi-VN"/>
              </w:rPr>
            </w:pPr>
            <w:r w:rsidRPr="006561A1">
              <w:rPr>
                <w:lang w:val="vi-VN"/>
              </w:rPr>
              <w:t>e) Đã là hòa giải viên, người đại diện, luật sư của bất kỳ bên nào trong chính vụ tranh chấp đang được đưa ra giải quyết tại Trung tâm, trừ khi các bên có chấp thuận bằng văn bản;</w:t>
            </w:r>
          </w:p>
        </w:tc>
        <w:tc>
          <w:tcPr>
            <w:tcW w:w="7174" w:type="dxa"/>
          </w:tcPr>
          <w:p w14:paraId="66A0DD14" w14:textId="77777777" w:rsidR="00724630" w:rsidRPr="006561A1" w:rsidRDefault="00724630" w:rsidP="006561A1">
            <w:pPr>
              <w:spacing w:after="120" w:line="276" w:lineRule="auto"/>
              <w:jc w:val="center"/>
              <w:rPr>
                <w:lang w:val="vi-VN"/>
              </w:rPr>
            </w:pPr>
          </w:p>
        </w:tc>
      </w:tr>
      <w:tr w:rsidR="00724630" w:rsidRPr="00D243F3" w14:paraId="08A4B692" w14:textId="77777777" w:rsidTr="00D243F3">
        <w:tc>
          <w:tcPr>
            <w:tcW w:w="6996" w:type="dxa"/>
          </w:tcPr>
          <w:p w14:paraId="58DA194E" w14:textId="43ACB7DC" w:rsidR="00724630" w:rsidRPr="006561A1" w:rsidRDefault="00724630" w:rsidP="006561A1">
            <w:pPr>
              <w:spacing w:after="120" w:line="276" w:lineRule="auto"/>
              <w:jc w:val="both"/>
              <w:rPr>
                <w:lang w:val="vi-VN"/>
              </w:rPr>
            </w:pPr>
            <w:r w:rsidRPr="006561A1">
              <w:rPr>
                <w:lang w:val="vi-VN"/>
              </w:rPr>
              <w:t xml:space="preserve">4. Trọng tài viên không được từ chối giải quyết vụ tranh chấp sau khi có thông báo chính thức về việc thành lập Hội đồng Trọng tài, trừ các trường hợp nêu tại Khoản 6 Điều 17 của Quy tắc này hoặc </w:t>
            </w:r>
            <w:r w:rsidRPr="006561A1">
              <w:rPr>
                <w:lang w:val="vi-VN"/>
              </w:rPr>
              <w:lastRenderedPageBreak/>
              <w:t xml:space="preserve">có thông tin, tình tiết mới khiến cho sự độc lập, vô tư, khách quan của Trọng tài viên không được duy trì. </w:t>
            </w:r>
          </w:p>
        </w:tc>
        <w:tc>
          <w:tcPr>
            <w:tcW w:w="7174" w:type="dxa"/>
          </w:tcPr>
          <w:p w14:paraId="4209AFA9" w14:textId="77777777" w:rsidR="00724630" w:rsidRPr="006561A1" w:rsidRDefault="00724630" w:rsidP="006561A1">
            <w:pPr>
              <w:spacing w:after="120" w:line="276" w:lineRule="auto"/>
              <w:jc w:val="center"/>
              <w:rPr>
                <w:lang w:val="vi-VN"/>
              </w:rPr>
            </w:pPr>
          </w:p>
        </w:tc>
      </w:tr>
    </w:tbl>
    <w:p w14:paraId="32A4DAEC" w14:textId="76C3E249" w:rsidR="00724630" w:rsidRPr="006561A1" w:rsidRDefault="00724630" w:rsidP="006561A1">
      <w:pPr>
        <w:spacing w:after="120" w:line="276" w:lineRule="auto"/>
        <w:jc w:val="both"/>
        <w:rPr>
          <w:lang w:val="vi-VN"/>
        </w:rPr>
      </w:pPr>
    </w:p>
    <w:p w14:paraId="6860E20C" w14:textId="77777777" w:rsidR="006561A1" w:rsidRPr="006561A1" w:rsidRDefault="006561A1" w:rsidP="006561A1">
      <w:pPr>
        <w:spacing w:after="120" w:line="276" w:lineRule="auto"/>
        <w:jc w:val="both"/>
        <w:rPr>
          <w:b/>
          <w:bCs/>
          <w:lang w:val="vi-VN"/>
        </w:rPr>
      </w:pPr>
      <w:r w:rsidRPr="006561A1">
        <w:rPr>
          <w:b/>
          <w:bCs/>
          <w:lang w:val="vi-VN"/>
        </w:rPr>
        <w:t>Ý kiến khác</w:t>
      </w:r>
    </w:p>
    <w:tbl>
      <w:tblPr>
        <w:tblStyle w:val="TableGrid"/>
        <w:tblW w:w="14170" w:type="dxa"/>
        <w:tblLook w:val="04A0" w:firstRow="1" w:lastRow="0" w:firstColumn="1" w:lastColumn="0" w:noHBand="0" w:noVBand="1"/>
      </w:tblPr>
      <w:tblGrid>
        <w:gridCol w:w="14170"/>
      </w:tblGrid>
      <w:tr w:rsidR="006561A1" w:rsidRPr="006561A1" w14:paraId="2A5681BF" w14:textId="77777777" w:rsidTr="00D243F3">
        <w:tc>
          <w:tcPr>
            <w:tcW w:w="14170" w:type="dxa"/>
          </w:tcPr>
          <w:p w14:paraId="67CCDA45" w14:textId="77777777" w:rsidR="006561A1" w:rsidRPr="006561A1" w:rsidRDefault="006561A1" w:rsidP="006561A1">
            <w:pPr>
              <w:spacing w:after="120" w:line="276" w:lineRule="auto"/>
              <w:jc w:val="both"/>
              <w:rPr>
                <w:lang w:val="vi-VN"/>
              </w:rPr>
            </w:pPr>
          </w:p>
          <w:p w14:paraId="38DE8932" w14:textId="77777777" w:rsidR="006561A1" w:rsidRPr="006561A1" w:rsidRDefault="006561A1" w:rsidP="006561A1">
            <w:pPr>
              <w:spacing w:after="120" w:line="276" w:lineRule="auto"/>
              <w:jc w:val="both"/>
              <w:rPr>
                <w:lang w:val="vi-VN"/>
              </w:rPr>
            </w:pPr>
          </w:p>
          <w:p w14:paraId="4C420DDE" w14:textId="77777777" w:rsidR="006561A1" w:rsidRPr="006561A1" w:rsidRDefault="006561A1" w:rsidP="006561A1">
            <w:pPr>
              <w:spacing w:after="120" w:line="276" w:lineRule="auto"/>
              <w:jc w:val="both"/>
              <w:rPr>
                <w:lang w:val="vi-VN"/>
              </w:rPr>
            </w:pPr>
          </w:p>
          <w:p w14:paraId="1D1ADB29" w14:textId="77777777" w:rsidR="006561A1" w:rsidRPr="006561A1" w:rsidRDefault="006561A1" w:rsidP="006561A1">
            <w:pPr>
              <w:spacing w:after="120" w:line="276" w:lineRule="auto"/>
              <w:jc w:val="both"/>
              <w:rPr>
                <w:lang w:val="vi-VN"/>
              </w:rPr>
            </w:pPr>
          </w:p>
        </w:tc>
      </w:tr>
    </w:tbl>
    <w:p w14:paraId="37F5B656" w14:textId="77777777" w:rsidR="006561A1" w:rsidRPr="006561A1" w:rsidRDefault="006561A1" w:rsidP="006561A1">
      <w:pPr>
        <w:spacing w:after="120" w:line="276" w:lineRule="auto"/>
        <w:jc w:val="both"/>
        <w:rPr>
          <w:lang w:val="vi-VN"/>
        </w:rPr>
      </w:pPr>
    </w:p>
    <w:p w14:paraId="53CD11D7" w14:textId="77777777" w:rsidR="00724630" w:rsidRPr="006561A1" w:rsidRDefault="00724630" w:rsidP="006561A1">
      <w:pPr>
        <w:spacing w:after="120" w:line="276" w:lineRule="auto"/>
        <w:rPr>
          <w:lang w:val="vi-VN"/>
        </w:rPr>
      </w:pPr>
      <w:r w:rsidRPr="006561A1">
        <w:rPr>
          <w:lang w:val="vi-VN"/>
        </w:rPr>
        <w:br w:type="page"/>
      </w:r>
    </w:p>
    <w:p w14:paraId="0BEA987C" w14:textId="7E22D1D2" w:rsidR="00724630" w:rsidRPr="006561A1" w:rsidRDefault="00724630" w:rsidP="006561A1">
      <w:pPr>
        <w:spacing w:after="120" w:line="276" w:lineRule="auto"/>
        <w:jc w:val="center"/>
        <w:rPr>
          <w:b/>
          <w:bCs/>
          <w:lang w:val="vi-VN"/>
        </w:rPr>
      </w:pPr>
      <w:r w:rsidRPr="006561A1">
        <w:rPr>
          <w:b/>
          <w:bCs/>
          <w:lang w:val="vi-VN"/>
        </w:rPr>
        <w:lastRenderedPageBreak/>
        <w:t xml:space="preserve">DỰ THẢO BỘ QUY TẮC </w:t>
      </w:r>
      <w:r w:rsidR="00DA083E" w:rsidRPr="006561A1">
        <w:rPr>
          <w:b/>
          <w:bCs/>
          <w:lang w:val="vi-VN"/>
        </w:rPr>
        <w:t>ĐẠO ĐỨC VÀ ỨNG XỬ NGHỀ NGHIỆP TRỌNG TÀI VIÊN</w:t>
      </w:r>
    </w:p>
    <w:p w14:paraId="407567A0" w14:textId="6FFBA760" w:rsidR="00DA083E" w:rsidRPr="006561A1" w:rsidRDefault="00DA083E" w:rsidP="006561A1">
      <w:pPr>
        <w:spacing w:after="120" w:line="276" w:lineRule="auto"/>
        <w:jc w:val="center"/>
        <w:rPr>
          <w:b/>
          <w:bCs/>
          <w:lang w:val="vi-VN"/>
        </w:rPr>
      </w:pPr>
      <w:r w:rsidRPr="006561A1">
        <w:rPr>
          <w:b/>
          <w:bCs/>
          <w:lang w:val="vi-VN"/>
        </w:rPr>
        <w:t>TẠI TRUNG TÂM TRỌNG TÀI QUỐC TẾ VIỆT NAM</w:t>
      </w:r>
    </w:p>
    <w:p w14:paraId="41E89068" w14:textId="28F7DE0A" w:rsidR="00724630" w:rsidRPr="006561A1" w:rsidRDefault="00724630" w:rsidP="006561A1">
      <w:pPr>
        <w:spacing w:after="120" w:line="276" w:lineRule="auto"/>
        <w:jc w:val="center"/>
        <w:rPr>
          <w:i/>
          <w:iCs/>
          <w:lang w:val="vi-VN"/>
        </w:rPr>
      </w:pPr>
      <w:r w:rsidRPr="006561A1">
        <w:rPr>
          <w:i/>
          <w:iCs/>
          <w:lang w:val="vi-VN"/>
        </w:rPr>
        <w:t xml:space="preserve">(Dự thảo </w:t>
      </w:r>
      <w:r w:rsidR="00DA083E" w:rsidRPr="006561A1">
        <w:rPr>
          <w:i/>
          <w:iCs/>
          <w:lang w:val="vi-VN"/>
        </w:rPr>
        <w:t>hoàn thiện</w:t>
      </w:r>
      <w:r w:rsidRPr="006561A1">
        <w:rPr>
          <w:i/>
          <w:iCs/>
          <w:lang w:val="vi-VN"/>
        </w:rPr>
        <w:t xml:space="preserve"> ngày 2</w:t>
      </w:r>
      <w:r w:rsidR="00DA083E" w:rsidRPr="006561A1">
        <w:rPr>
          <w:i/>
          <w:iCs/>
          <w:lang w:val="vi-VN"/>
        </w:rPr>
        <w:t>5</w:t>
      </w:r>
      <w:r w:rsidRPr="006561A1">
        <w:rPr>
          <w:i/>
          <w:iCs/>
          <w:lang w:val="vi-VN"/>
        </w:rPr>
        <w:t xml:space="preserve"> tháng 0</w:t>
      </w:r>
      <w:r w:rsidR="00DA083E" w:rsidRPr="006561A1">
        <w:rPr>
          <w:i/>
          <w:iCs/>
          <w:lang w:val="vi-VN"/>
        </w:rPr>
        <w:t>2</w:t>
      </w:r>
      <w:r w:rsidRPr="006561A1">
        <w:rPr>
          <w:i/>
          <w:iCs/>
          <w:lang w:val="vi-VN"/>
        </w:rPr>
        <w:t xml:space="preserve"> năm 2025)</w:t>
      </w:r>
    </w:p>
    <w:p w14:paraId="11F8CAF0" w14:textId="77777777" w:rsidR="00724630" w:rsidRPr="006561A1" w:rsidRDefault="00724630" w:rsidP="006561A1">
      <w:pPr>
        <w:spacing w:after="120" w:line="276" w:lineRule="auto"/>
        <w:jc w:val="center"/>
        <w:rPr>
          <w:lang w:val="vi-VN"/>
        </w:rPr>
      </w:pPr>
      <w:r w:rsidRPr="006561A1">
        <w:rPr>
          <w:lang w:val="vi-VN"/>
        </w:rPr>
        <w:t>________________________</w:t>
      </w:r>
    </w:p>
    <w:tbl>
      <w:tblPr>
        <w:tblStyle w:val="TableGrid"/>
        <w:tblW w:w="14170" w:type="dxa"/>
        <w:tblLook w:val="04A0" w:firstRow="1" w:lastRow="0" w:firstColumn="1" w:lastColumn="0" w:noHBand="0" w:noVBand="1"/>
      </w:tblPr>
      <w:tblGrid>
        <w:gridCol w:w="6996"/>
        <w:gridCol w:w="7174"/>
      </w:tblGrid>
      <w:tr w:rsidR="00724630" w:rsidRPr="006561A1" w14:paraId="5BCD8052" w14:textId="77777777" w:rsidTr="00D243F3">
        <w:trPr>
          <w:trHeight w:val="581"/>
          <w:tblHeader/>
        </w:trPr>
        <w:tc>
          <w:tcPr>
            <w:tcW w:w="6996" w:type="dxa"/>
            <w:shd w:val="clear" w:color="auto" w:fill="F2F2F2" w:themeFill="background1" w:themeFillShade="F2"/>
            <w:vAlign w:val="center"/>
          </w:tcPr>
          <w:p w14:paraId="108E14E9" w14:textId="77777777" w:rsidR="00724630" w:rsidRPr="006561A1" w:rsidRDefault="00724630" w:rsidP="006561A1">
            <w:pPr>
              <w:spacing w:line="276" w:lineRule="auto"/>
              <w:jc w:val="center"/>
              <w:rPr>
                <w:b/>
                <w:bCs/>
                <w:lang w:val="vi-VN"/>
              </w:rPr>
            </w:pPr>
            <w:r w:rsidRPr="006561A1">
              <w:rPr>
                <w:b/>
                <w:bCs/>
                <w:lang w:val="vi-VN"/>
              </w:rPr>
              <w:t>Nội dung dự thảo</w:t>
            </w:r>
          </w:p>
        </w:tc>
        <w:tc>
          <w:tcPr>
            <w:tcW w:w="7174" w:type="dxa"/>
            <w:shd w:val="clear" w:color="auto" w:fill="F2F2F2" w:themeFill="background1" w:themeFillShade="F2"/>
            <w:vAlign w:val="center"/>
          </w:tcPr>
          <w:p w14:paraId="35C4D934" w14:textId="77777777" w:rsidR="00724630" w:rsidRPr="006561A1" w:rsidRDefault="00724630" w:rsidP="006561A1">
            <w:pPr>
              <w:spacing w:line="276" w:lineRule="auto"/>
              <w:jc w:val="center"/>
              <w:rPr>
                <w:b/>
                <w:bCs/>
                <w:lang w:val="vi-VN"/>
              </w:rPr>
            </w:pPr>
            <w:r w:rsidRPr="006561A1">
              <w:rPr>
                <w:b/>
                <w:bCs/>
                <w:lang w:val="vi-VN"/>
              </w:rPr>
              <w:t>Nội dung góp ý</w:t>
            </w:r>
          </w:p>
        </w:tc>
      </w:tr>
      <w:tr w:rsidR="0036341B" w:rsidRPr="006561A1" w14:paraId="2691543B" w14:textId="77777777" w:rsidTr="00D243F3">
        <w:tc>
          <w:tcPr>
            <w:tcW w:w="6996" w:type="dxa"/>
          </w:tcPr>
          <w:p w14:paraId="0F78BEA8" w14:textId="40DAB53D" w:rsidR="0036341B" w:rsidRPr="006561A1" w:rsidRDefault="0036341B" w:rsidP="006561A1">
            <w:pPr>
              <w:pStyle w:val="ListParagraph"/>
              <w:numPr>
                <w:ilvl w:val="0"/>
                <w:numId w:val="4"/>
              </w:numPr>
              <w:autoSpaceDE w:val="0"/>
              <w:autoSpaceDN w:val="0"/>
              <w:spacing w:after="120" w:line="276" w:lineRule="auto"/>
              <w:ind w:left="567" w:hanging="539"/>
              <w:contextualSpacing w:val="0"/>
              <w:jc w:val="both"/>
              <w:rPr>
                <w:rFonts w:eastAsia="Calibri" w:cs="Times New Roman"/>
                <w:b/>
                <w:bCs/>
                <w:iCs/>
                <w:lang w:val="vi-VN"/>
              </w:rPr>
            </w:pPr>
            <w:r w:rsidRPr="006561A1">
              <w:rPr>
                <w:rFonts w:eastAsia="Calibri" w:cs="Times New Roman"/>
                <w:b/>
                <w:bCs/>
                <w:iCs/>
                <w:lang w:val="vi-VN"/>
              </w:rPr>
              <w:t>Phạm vi áp dụng</w:t>
            </w:r>
          </w:p>
        </w:tc>
        <w:tc>
          <w:tcPr>
            <w:tcW w:w="7174" w:type="dxa"/>
          </w:tcPr>
          <w:p w14:paraId="2636FCEA" w14:textId="77777777" w:rsidR="0036341B" w:rsidRPr="006561A1" w:rsidRDefault="0036341B" w:rsidP="006561A1">
            <w:pPr>
              <w:spacing w:after="120" w:line="276" w:lineRule="auto"/>
              <w:jc w:val="center"/>
              <w:rPr>
                <w:b/>
                <w:bCs/>
                <w:lang w:val="vi-VN"/>
              </w:rPr>
            </w:pPr>
          </w:p>
        </w:tc>
      </w:tr>
      <w:tr w:rsidR="00724630" w:rsidRPr="00D243F3" w14:paraId="63A7462B" w14:textId="77777777" w:rsidTr="00D243F3">
        <w:tc>
          <w:tcPr>
            <w:tcW w:w="6996" w:type="dxa"/>
          </w:tcPr>
          <w:p w14:paraId="0A286000" w14:textId="77777777" w:rsidR="00F2602F" w:rsidRPr="006561A1" w:rsidRDefault="00F2602F"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Cs/>
                <w:lang w:val="vi-VN"/>
              </w:rPr>
            </w:pPr>
            <w:r w:rsidRPr="006561A1">
              <w:rPr>
                <w:rFonts w:eastAsia="Calibri" w:cs="Times New Roman"/>
                <w:iCs/>
                <w:lang w:val="vi-VN"/>
              </w:rPr>
              <w:t xml:space="preserve">Bộ quy tắc áp dụng với các trọng tài viên đã và đang tham gia các Hội đồng Trọng tài tại VIAC và với các trọng tài viên tiềm năng dự định tham gia các Hội đồng Trọng tài tại VIAC. </w:t>
            </w:r>
          </w:p>
          <w:p w14:paraId="75C0C139" w14:textId="34D28342" w:rsidR="00724630" w:rsidRPr="006561A1" w:rsidRDefault="00F2602F"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Cs/>
                <w:lang w:val="vi-VN"/>
              </w:rPr>
            </w:pPr>
            <w:r w:rsidRPr="006561A1">
              <w:rPr>
                <w:rFonts w:eastAsia="Calibri" w:cs="Times New Roman"/>
                <w:iCs/>
                <w:lang w:val="vi-VN"/>
              </w:rPr>
              <w:t xml:space="preserve">Trong trường hợp Quy tắc Tố tụng Trọng tài của VIAC chứa các quy định về hành vi của Trọng tài viên, Bộ Quy tắc được xem là bổ sung hoặc làm rõ các quy định đó. </w:t>
            </w:r>
          </w:p>
        </w:tc>
        <w:tc>
          <w:tcPr>
            <w:tcW w:w="7174" w:type="dxa"/>
          </w:tcPr>
          <w:p w14:paraId="7EC19613" w14:textId="77777777" w:rsidR="00724630" w:rsidRPr="006561A1" w:rsidRDefault="00724630" w:rsidP="006561A1">
            <w:pPr>
              <w:spacing w:after="120" w:line="276" w:lineRule="auto"/>
              <w:jc w:val="center"/>
              <w:rPr>
                <w:lang w:val="vi-VN"/>
              </w:rPr>
            </w:pPr>
          </w:p>
        </w:tc>
      </w:tr>
      <w:tr w:rsidR="00F2602F" w:rsidRPr="00D243F3" w14:paraId="5C0E3175" w14:textId="77777777" w:rsidTr="00D243F3">
        <w:tc>
          <w:tcPr>
            <w:tcW w:w="6996" w:type="dxa"/>
          </w:tcPr>
          <w:p w14:paraId="3E23DD53" w14:textId="364609FC" w:rsidR="00F2602F" w:rsidRPr="006561A1" w:rsidRDefault="00315E35" w:rsidP="006561A1">
            <w:pPr>
              <w:pStyle w:val="ListParagraph"/>
              <w:numPr>
                <w:ilvl w:val="0"/>
                <w:numId w:val="4"/>
              </w:numPr>
              <w:autoSpaceDE w:val="0"/>
              <w:autoSpaceDN w:val="0"/>
              <w:spacing w:after="120" w:line="276" w:lineRule="auto"/>
              <w:ind w:left="567" w:hanging="539"/>
              <w:contextualSpacing w:val="0"/>
              <w:jc w:val="both"/>
              <w:rPr>
                <w:rFonts w:eastAsia="Calibri" w:cs="Times New Roman"/>
                <w:b/>
                <w:bCs/>
                <w:iCs/>
                <w:lang w:val="vi-VN"/>
              </w:rPr>
            </w:pPr>
            <w:r w:rsidRPr="006561A1">
              <w:rPr>
                <w:rFonts w:eastAsia="Calibri" w:cs="Times New Roman"/>
                <w:b/>
                <w:bCs/>
                <w:iCs/>
                <w:lang w:val="vi-VN"/>
              </w:rPr>
              <w:t>Trọng tài viên từ chối giải quyết vụ tranh chấp</w:t>
            </w:r>
          </w:p>
        </w:tc>
        <w:tc>
          <w:tcPr>
            <w:tcW w:w="7174" w:type="dxa"/>
          </w:tcPr>
          <w:p w14:paraId="00EE9672" w14:textId="77777777" w:rsidR="00F2602F" w:rsidRPr="006561A1" w:rsidRDefault="00F2602F" w:rsidP="006561A1">
            <w:pPr>
              <w:spacing w:after="120" w:line="276" w:lineRule="auto"/>
              <w:jc w:val="center"/>
              <w:rPr>
                <w:lang w:val="vi-VN"/>
              </w:rPr>
            </w:pPr>
          </w:p>
        </w:tc>
      </w:tr>
      <w:tr w:rsidR="00F2602F" w:rsidRPr="00D243F3" w14:paraId="37E33543" w14:textId="77777777" w:rsidTr="00D243F3">
        <w:tc>
          <w:tcPr>
            <w:tcW w:w="6996" w:type="dxa"/>
          </w:tcPr>
          <w:p w14:paraId="4E8330F6" w14:textId="77777777" w:rsidR="008F1FC3" w:rsidRPr="006561A1" w:rsidRDefault="008F1FC3"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Cs/>
                <w:lang w:val="vi-VN"/>
              </w:rPr>
            </w:pPr>
            <w:r w:rsidRPr="006561A1">
              <w:rPr>
                <w:rFonts w:eastAsia="Calibri" w:cs="Times New Roman"/>
                <w:iCs/>
                <w:lang w:val="vi-VN"/>
              </w:rPr>
              <w:t>Trọng tài viên phải từ chối giải quyết vụ tranh chấp nếu:</w:t>
            </w:r>
          </w:p>
          <w:p w14:paraId="19FA330C" w14:textId="77777777" w:rsidR="008F1FC3" w:rsidRPr="006561A1" w:rsidRDefault="008F1FC3" w:rsidP="006561A1">
            <w:pPr>
              <w:pStyle w:val="ListParagraph"/>
              <w:numPr>
                <w:ilvl w:val="2"/>
                <w:numId w:val="4"/>
              </w:numPr>
              <w:autoSpaceDE w:val="0"/>
              <w:autoSpaceDN w:val="0"/>
              <w:spacing w:after="120" w:line="276" w:lineRule="auto"/>
              <w:ind w:left="1418" w:hanging="851"/>
              <w:contextualSpacing w:val="0"/>
              <w:jc w:val="both"/>
              <w:rPr>
                <w:rFonts w:cs="Times New Roman"/>
                <w:shd w:val="clear" w:color="auto" w:fill="FFFFFF"/>
                <w:lang w:val="vi-VN"/>
              </w:rPr>
            </w:pPr>
            <w:r w:rsidRPr="006561A1">
              <w:rPr>
                <w:rFonts w:cs="Times New Roman"/>
                <w:shd w:val="clear" w:color="auto" w:fill="FFFFFF"/>
                <w:lang w:val="vi-VN"/>
              </w:rPr>
              <w:t xml:space="preserve">Trọng tài viên không đáp ứng được các tiêu chuẩn làm trọng tài viên và không thuộc trường hợp không được làm trọng tài viên theo pháp luật trọng tài được áp dụng; </w:t>
            </w:r>
          </w:p>
          <w:p w14:paraId="2E85197E" w14:textId="77777777" w:rsidR="008F1FC3" w:rsidRPr="006561A1" w:rsidRDefault="008F1FC3" w:rsidP="006561A1">
            <w:pPr>
              <w:pStyle w:val="ListParagraph"/>
              <w:numPr>
                <w:ilvl w:val="2"/>
                <w:numId w:val="4"/>
              </w:numPr>
              <w:autoSpaceDE w:val="0"/>
              <w:autoSpaceDN w:val="0"/>
              <w:spacing w:after="120" w:line="276" w:lineRule="auto"/>
              <w:ind w:left="1418" w:hanging="851"/>
              <w:contextualSpacing w:val="0"/>
              <w:jc w:val="both"/>
              <w:rPr>
                <w:rFonts w:cs="Times New Roman"/>
                <w:shd w:val="clear" w:color="auto" w:fill="FFFFFF"/>
                <w:lang w:val="vi-VN"/>
              </w:rPr>
            </w:pPr>
            <w:r w:rsidRPr="006561A1">
              <w:rPr>
                <w:rFonts w:cs="Times New Roman"/>
                <w:shd w:val="clear" w:color="auto" w:fill="FFFFFF"/>
                <w:lang w:val="vi-VN"/>
              </w:rPr>
              <w:t xml:space="preserve">Trọng tài viên không đáp ứng được các tiêu chuẩn và yêu cầu theo quy định tại Bộ Quy tắc này hoặc các tiêu chuẩn do VIAC ban hành tại thời điểm nhận được </w:t>
            </w:r>
            <w:r w:rsidRPr="006561A1">
              <w:rPr>
                <w:rFonts w:cs="Times New Roman"/>
                <w:shd w:val="clear" w:color="auto" w:fill="FFFFFF"/>
                <w:lang w:val="vi-VN"/>
              </w:rPr>
              <w:lastRenderedPageBreak/>
              <w:t xml:space="preserve">thông báo về việc được chọn hoặc được chỉ định làm Trọng tài viên; </w:t>
            </w:r>
          </w:p>
          <w:p w14:paraId="432FD136" w14:textId="77777777" w:rsidR="008F1FC3" w:rsidRPr="006561A1" w:rsidRDefault="008F1FC3" w:rsidP="006561A1">
            <w:pPr>
              <w:pStyle w:val="ListParagraph"/>
              <w:numPr>
                <w:ilvl w:val="2"/>
                <w:numId w:val="4"/>
              </w:numPr>
              <w:autoSpaceDE w:val="0"/>
              <w:autoSpaceDN w:val="0"/>
              <w:spacing w:after="120" w:line="276" w:lineRule="auto"/>
              <w:ind w:left="1418" w:hanging="851"/>
              <w:contextualSpacing w:val="0"/>
              <w:jc w:val="both"/>
              <w:rPr>
                <w:rFonts w:cs="Times New Roman"/>
                <w:shd w:val="clear" w:color="auto" w:fill="FFFFFF"/>
                <w:lang w:val="vi-VN"/>
              </w:rPr>
            </w:pPr>
            <w:r w:rsidRPr="006561A1">
              <w:rPr>
                <w:rFonts w:cs="Times New Roman"/>
                <w:shd w:val="clear" w:color="auto" w:fill="FFFFFF"/>
                <w:lang w:val="vi-VN"/>
              </w:rPr>
              <w:t>Trọng tài viên là người thân thích hoặc đang là người đại diện của một bên trong vụ tranh chấp. Trọng tài viên đã là hòa giải viên, người đại diện, luật sư của bất cứ bên nào trước khi đưa vụ tranh chấp đó ra giải quyết tại VIAC, trừ trường hợp được các bên chấp thuận bằng văn bản.</w:t>
            </w:r>
          </w:p>
          <w:p w14:paraId="1C79E7AD" w14:textId="77777777" w:rsidR="008F1FC3" w:rsidRPr="006561A1" w:rsidRDefault="008F1FC3" w:rsidP="006561A1">
            <w:pPr>
              <w:pStyle w:val="ListParagraph"/>
              <w:numPr>
                <w:ilvl w:val="2"/>
                <w:numId w:val="4"/>
              </w:numPr>
              <w:autoSpaceDE w:val="0"/>
              <w:autoSpaceDN w:val="0"/>
              <w:spacing w:after="120" w:line="276" w:lineRule="auto"/>
              <w:ind w:left="1418" w:hanging="851"/>
              <w:contextualSpacing w:val="0"/>
              <w:jc w:val="both"/>
              <w:rPr>
                <w:rFonts w:cs="Times New Roman"/>
                <w:shd w:val="clear" w:color="auto" w:fill="FFFFFF"/>
                <w:lang w:val="vi-VN"/>
              </w:rPr>
            </w:pPr>
            <w:r w:rsidRPr="006561A1">
              <w:rPr>
                <w:rFonts w:cs="Times New Roman"/>
                <w:shd w:val="clear" w:color="auto" w:fill="FFFFFF"/>
                <w:lang w:val="vi-VN"/>
              </w:rPr>
              <w:t>Trọng tài viên có lợi ích về tài chính, thương mại với một trong các bên trong vụ tranh chấp hoặc với kết quả của vụ tranh chấp đó.</w:t>
            </w:r>
          </w:p>
          <w:p w14:paraId="0BB99046" w14:textId="77777777" w:rsidR="008F1FC3" w:rsidRPr="006561A1" w:rsidRDefault="008F1FC3" w:rsidP="006561A1">
            <w:pPr>
              <w:pStyle w:val="ListParagraph"/>
              <w:numPr>
                <w:ilvl w:val="2"/>
                <w:numId w:val="4"/>
              </w:numPr>
              <w:autoSpaceDE w:val="0"/>
              <w:autoSpaceDN w:val="0"/>
              <w:spacing w:after="120" w:line="276" w:lineRule="auto"/>
              <w:ind w:left="1418" w:hanging="851"/>
              <w:contextualSpacing w:val="0"/>
              <w:jc w:val="both"/>
              <w:rPr>
                <w:rFonts w:cs="Times New Roman"/>
                <w:shd w:val="clear" w:color="auto" w:fill="FFFFFF"/>
                <w:lang w:val="vi-VN"/>
              </w:rPr>
            </w:pPr>
            <w:r w:rsidRPr="006561A1">
              <w:rPr>
                <w:rFonts w:cs="Times New Roman"/>
                <w:shd w:val="clear" w:color="auto" w:fill="FFFFFF"/>
                <w:lang w:val="vi-VN"/>
              </w:rPr>
              <w:t xml:space="preserve">Trọng tài viên tự thấy mình không thể giữ độc lập, vô tư khách quan với một trong các bên, các luật sư của các bên hay các thành viên trong Hội đồng Trọng tài </w:t>
            </w:r>
          </w:p>
          <w:p w14:paraId="68E07849" w14:textId="77777777" w:rsidR="008F1FC3" w:rsidRPr="006561A1" w:rsidRDefault="008F1FC3" w:rsidP="006561A1">
            <w:pPr>
              <w:pStyle w:val="ListParagraph"/>
              <w:numPr>
                <w:ilvl w:val="2"/>
                <w:numId w:val="4"/>
              </w:numPr>
              <w:autoSpaceDE w:val="0"/>
              <w:autoSpaceDN w:val="0"/>
              <w:spacing w:after="120" w:line="276" w:lineRule="auto"/>
              <w:ind w:left="1418" w:hanging="851"/>
              <w:contextualSpacing w:val="0"/>
              <w:jc w:val="both"/>
              <w:rPr>
                <w:rFonts w:cs="Times New Roman"/>
                <w:shd w:val="clear" w:color="auto" w:fill="FFFFFF"/>
                <w:lang w:val="vi-VN"/>
              </w:rPr>
            </w:pPr>
            <w:r w:rsidRPr="006561A1">
              <w:rPr>
                <w:rFonts w:cs="Times New Roman"/>
                <w:shd w:val="clear" w:color="auto" w:fill="FFFFFF"/>
                <w:lang w:val="vi-VN"/>
              </w:rPr>
              <w:t>Trọng tài viên tự thấy</w:t>
            </w:r>
            <w:r w:rsidRPr="006561A1">
              <w:rPr>
                <w:rFonts w:cs="Times New Roman"/>
                <w:lang w:val="vi-VN"/>
              </w:rPr>
              <w:t xml:space="preserve"> không có đủ năng lực để giải quyết các vấn đề tranh chấp và/hoặc không có đủ khả năng sử dụng ngôn ngữ là ngôn ngữ trọng tài để giải quyết tranh chấp.</w:t>
            </w:r>
          </w:p>
          <w:p w14:paraId="40D331F5" w14:textId="5251098C" w:rsidR="00F2602F" w:rsidRPr="006561A1" w:rsidRDefault="008F1FC3" w:rsidP="006561A1">
            <w:pPr>
              <w:pStyle w:val="ListParagraph"/>
              <w:numPr>
                <w:ilvl w:val="2"/>
                <w:numId w:val="4"/>
              </w:numPr>
              <w:autoSpaceDE w:val="0"/>
              <w:autoSpaceDN w:val="0"/>
              <w:spacing w:after="120" w:line="276" w:lineRule="auto"/>
              <w:ind w:left="1440" w:hanging="873"/>
              <w:contextualSpacing w:val="0"/>
              <w:jc w:val="both"/>
              <w:rPr>
                <w:rFonts w:cs="Times New Roman"/>
                <w:shd w:val="clear" w:color="auto" w:fill="FFFFFF"/>
                <w:lang w:val="vi-VN"/>
              </w:rPr>
            </w:pPr>
            <w:r w:rsidRPr="006561A1">
              <w:rPr>
                <w:rFonts w:cs="Times New Roman"/>
                <w:shd w:val="clear" w:color="auto" w:fill="FFFFFF"/>
                <w:lang w:val="vi-VN"/>
              </w:rPr>
              <w:t>Trước thời điểm Hội đồng Trọng tài được thành lập, Trọng tài viên bị yêu cầu thay đổi bởi một bên và bên còn lại đồng ý với yêu cầu thay đổi đó</w:t>
            </w:r>
            <w:r w:rsidRPr="006561A1">
              <w:rPr>
                <w:rStyle w:val="FootnoteReference"/>
                <w:rFonts w:cs="Times New Roman"/>
                <w:shd w:val="clear" w:color="auto" w:fill="FFFFFF"/>
                <w:lang w:val="vi-VN"/>
              </w:rPr>
              <w:footnoteReference w:id="1"/>
            </w:r>
            <w:r w:rsidRPr="006561A1">
              <w:rPr>
                <w:rFonts w:cs="Times New Roman"/>
                <w:shd w:val="clear" w:color="auto" w:fill="FFFFFF"/>
                <w:lang w:val="vi-VN"/>
              </w:rPr>
              <w:t xml:space="preserve">. </w:t>
            </w:r>
          </w:p>
        </w:tc>
        <w:tc>
          <w:tcPr>
            <w:tcW w:w="7174" w:type="dxa"/>
          </w:tcPr>
          <w:p w14:paraId="01306018" w14:textId="77777777" w:rsidR="00F2602F" w:rsidRPr="006561A1" w:rsidRDefault="00F2602F" w:rsidP="006561A1">
            <w:pPr>
              <w:spacing w:after="120" w:line="276" w:lineRule="auto"/>
              <w:jc w:val="center"/>
              <w:rPr>
                <w:lang w:val="vi-VN"/>
              </w:rPr>
            </w:pPr>
          </w:p>
        </w:tc>
      </w:tr>
      <w:tr w:rsidR="00F2602F" w:rsidRPr="00D243F3" w14:paraId="7566F3A9" w14:textId="77777777" w:rsidTr="00D243F3">
        <w:tc>
          <w:tcPr>
            <w:tcW w:w="6996" w:type="dxa"/>
          </w:tcPr>
          <w:p w14:paraId="2422E628" w14:textId="19C55938" w:rsidR="00F2602F" w:rsidRPr="006561A1" w:rsidRDefault="00B26234"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Cs/>
                <w:lang w:val="vi-VN"/>
              </w:rPr>
            </w:pPr>
            <w:r w:rsidRPr="006561A1">
              <w:rPr>
                <w:rFonts w:eastAsia="Calibri" w:cs="Times New Roman"/>
                <w:iCs/>
                <w:lang w:val="vi-VN"/>
              </w:rPr>
              <w:lastRenderedPageBreak/>
              <w:t xml:space="preserve">Tổng thư ký VIAC có thể xem xét khuyến nghị Trọng tài viên từ chối giải quyết vụ tranh chấp trong trường hợp </w:t>
            </w:r>
            <w:r w:rsidRPr="006561A1">
              <w:rPr>
                <w:rFonts w:cs="Times New Roman"/>
                <w:shd w:val="clear" w:color="auto" w:fill="FFFFFF"/>
                <w:lang w:val="vi-VN"/>
              </w:rPr>
              <w:t xml:space="preserve">Trọng tài viên đó đã nêu quan điểm pháp lý rõ ràng về bản chất của các vấn đề tranh chấp của Vụ tranh chấp trước khi được chọn/chỉ định làm Trọng tài viên, hoặc trong trường hợp Trọng tài viên có thông tin công khai tại Mục II của Bản tuyên bố Trọng tài viên VIAC. Khuyến nghị của Tổng Thư ký </w:t>
            </w:r>
            <w:r w:rsidRPr="006561A1">
              <w:rPr>
                <w:rFonts w:eastAsia="Calibri" w:cs="Times New Roman"/>
                <w:iCs/>
                <w:lang w:val="vi-VN"/>
              </w:rPr>
              <w:t>không nhất thiết thông báo tới các bên.</w:t>
            </w:r>
          </w:p>
        </w:tc>
        <w:tc>
          <w:tcPr>
            <w:tcW w:w="7174" w:type="dxa"/>
          </w:tcPr>
          <w:p w14:paraId="69E44639" w14:textId="77777777" w:rsidR="00F2602F" w:rsidRPr="006561A1" w:rsidRDefault="00F2602F" w:rsidP="006561A1">
            <w:pPr>
              <w:spacing w:after="120" w:line="276" w:lineRule="auto"/>
              <w:jc w:val="center"/>
              <w:rPr>
                <w:lang w:val="vi-VN"/>
              </w:rPr>
            </w:pPr>
          </w:p>
        </w:tc>
      </w:tr>
      <w:tr w:rsidR="00F2602F" w:rsidRPr="00D243F3" w14:paraId="4D2F5693" w14:textId="77777777" w:rsidTr="00D243F3">
        <w:tc>
          <w:tcPr>
            <w:tcW w:w="6996" w:type="dxa"/>
          </w:tcPr>
          <w:p w14:paraId="2F1ED3A6" w14:textId="77777777" w:rsidR="00F53B93" w:rsidRPr="006561A1" w:rsidRDefault="00F53B93"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Cs/>
                <w:lang w:val="vi-VN"/>
              </w:rPr>
            </w:pPr>
            <w:r w:rsidRPr="006561A1">
              <w:rPr>
                <w:rFonts w:cs="Times New Roman"/>
                <w:shd w:val="clear" w:color="auto" w:fill="FFFFFF"/>
                <w:lang w:val="vi-VN"/>
              </w:rPr>
              <w:t>Trường hợp Trọng tài viên bị yêu cầu thay đổi bởi một bên và Trọng tài viên đó tự đánh giá rằng thủ tục xem xét thay đổi trọng tài viên sẽ gây ra những khó khăn không cần thiết đối với tính công bằng, hiệu quả và nhanh chóng của quá trình tố tụng thì có thể cân nhắc từ chối làm trọng tài viên.</w:t>
            </w:r>
            <w:r w:rsidRPr="006561A1">
              <w:rPr>
                <w:rStyle w:val="FootnoteReference"/>
                <w:rFonts w:cs="Times New Roman"/>
                <w:shd w:val="clear" w:color="auto" w:fill="FFFFFF"/>
                <w:lang w:val="vi-VN"/>
              </w:rPr>
              <w:footnoteReference w:id="2"/>
            </w:r>
            <w:r w:rsidRPr="006561A1">
              <w:rPr>
                <w:rFonts w:cs="Times New Roman"/>
                <w:shd w:val="clear" w:color="auto" w:fill="FFFFFF"/>
                <w:lang w:val="vi-VN"/>
              </w:rPr>
              <w:t xml:space="preserve">  </w:t>
            </w:r>
          </w:p>
          <w:p w14:paraId="4BA3E379" w14:textId="1310EC2F" w:rsidR="00F2602F" w:rsidRPr="006561A1" w:rsidRDefault="00D01FBA" w:rsidP="006561A1">
            <w:pPr>
              <w:pStyle w:val="ListParagraph"/>
              <w:numPr>
                <w:ilvl w:val="0"/>
                <w:numId w:val="4"/>
              </w:numPr>
              <w:autoSpaceDE w:val="0"/>
              <w:autoSpaceDN w:val="0"/>
              <w:spacing w:after="120" w:line="276" w:lineRule="auto"/>
              <w:ind w:left="567" w:hanging="567"/>
              <w:contextualSpacing w:val="0"/>
              <w:jc w:val="both"/>
              <w:rPr>
                <w:rFonts w:eastAsia="Calibri" w:cs="Times New Roman"/>
                <w:b/>
                <w:bCs/>
                <w:iCs/>
                <w:lang w:val="vi-VN"/>
              </w:rPr>
            </w:pPr>
            <w:r w:rsidRPr="006561A1">
              <w:rPr>
                <w:rFonts w:eastAsia="Calibri" w:cs="Times New Roman"/>
                <w:b/>
                <w:bCs/>
                <w:iCs/>
                <w:lang w:val="vi-VN"/>
              </w:rPr>
              <w:t>Độc lập, vô tư và khách quan</w:t>
            </w:r>
          </w:p>
        </w:tc>
        <w:tc>
          <w:tcPr>
            <w:tcW w:w="7174" w:type="dxa"/>
          </w:tcPr>
          <w:p w14:paraId="695A6DB3" w14:textId="77777777" w:rsidR="00F2602F" w:rsidRPr="006561A1" w:rsidRDefault="00F2602F" w:rsidP="006561A1">
            <w:pPr>
              <w:spacing w:after="120" w:line="276" w:lineRule="auto"/>
              <w:jc w:val="center"/>
              <w:rPr>
                <w:lang w:val="vi-VN"/>
              </w:rPr>
            </w:pPr>
          </w:p>
        </w:tc>
      </w:tr>
      <w:tr w:rsidR="00724630" w:rsidRPr="00D243F3" w14:paraId="18A7A332" w14:textId="77777777" w:rsidTr="00D243F3">
        <w:tc>
          <w:tcPr>
            <w:tcW w:w="6996" w:type="dxa"/>
          </w:tcPr>
          <w:p w14:paraId="233BD5C9" w14:textId="401A3F62" w:rsidR="00724630" w:rsidRPr="006561A1" w:rsidRDefault="00372221"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
                <w:lang w:val="vi-VN"/>
              </w:rPr>
            </w:pPr>
            <w:r w:rsidRPr="006561A1">
              <w:rPr>
                <w:rFonts w:eastAsia="Calibri" w:cs="Times New Roman"/>
                <w:iCs/>
                <w:lang w:val="vi-VN"/>
              </w:rPr>
              <w:t>Trọng tài viên phải giải quyết vụ tranh chấp một cách độc lập, vô tư và khách quan</w:t>
            </w:r>
          </w:p>
        </w:tc>
        <w:tc>
          <w:tcPr>
            <w:tcW w:w="7174" w:type="dxa"/>
          </w:tcPr>
          <w:p w14:paraId="498544A7" w14:textId="77777777" w:rsidR="00724630" w:rsidRPr="006561A1" w:rsidRDefault="00724630" w:rsidP="006561A1">
            <w:pPr>
              <w:spacing w:after="120" w:line="276" w:lineRule="auto"/>
              <w:jc w:val="center"/>
              <w:rPr>
                <w:lang w:val="vi-VN"/>
              </w:rPr>
            </w:pPr>
          </w:p>
        </w:tc>
      </w:tr>
      <w:tr w:rsidR="00D01FBA" w:rsidRPr="00D243F3" w14:paraId="645FA29A" w14:textId="77777777" w:rsidTr="00D243F3">
        <w:tc>
          <w:tcPr>
            <w:tcW w:w="6996" w:type="dxa"/>
          </w:tcPr>
          <w:p w14:paraId="392B7FB8" w14:textId="77777777" w:rsidR="001F20DB" w:rsidRPr="006561A1" w:rsidRDefault="001F20DB"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
                <w:lang w:val="vi-VN"/>
              </w:rPr>
            </w:pPr>
            <w:r w:rsidRPr="006561A1">
              <w:rPr>
                <w:rFonts w:eastAsia="Calibri" w:cs="Times New Roman"/>
                <w:iCs/>
                <w:lang w:val="vi-VN"/>
              </w:rPr>
              <w:t xml:space="preserve">Khoản 1 điều này gồm những nghĩa vụ cụ thể sau: </w:t>
            </w:r>
          </w:p>
          <w:p w14:paraId="54CF92C1" w14:textId="77777777" w:rsidR="001F20DB" w:rsidRPr="006561A1" w:rsidRDefault="001F20DB" w:rsidP="006561A1">
            <w:pPr>
              <w:pStyle w:val="ListParagraph"/>
              <w:numPr>
                <w:ilvl w:val="2"/>
                <w:numId w:val="4"/>
              </w:numPr>
              <w:autoSpaceDE w:val="0"/>
              <w:autoSpaceDN w:val="0"/>
              <w:spacing w:after="120" w:line="276" w:lineRule="auto"/>
              <w:ind w:left="1440" w:hanging="873"/>
              <w:contextualSpacing w:val="0"/>
              <w:jc w:val="both"/>
              <w:rPr>
                <w:rFonts w:eastAsia="Calibri" w:cs="Times New Roman"/>
                <w:iCs/>
                <w:lang w:val="vi-VN"/>
              </w:rPr>
            </w:pPr>
            <w:r w:rsidRPr="006561A1">
              <w:rPr>
                <w:rFonts w:cs="Times New Roman"/>
                <w:shd w:val="clear" w:color="auto" w:fill="FFFFFF"/>
                <w:lang w:val="vi-VN"/>
              </w:rPr>
              <w:t xml:space="preserve">Trong quá trình giải quyết vụ tranh chấp, Trọng tài viên đưa ra quyết định trên cơ sở các tình tiết, chứng cứ, tài liệu trong vụ tranh chấp và chỉ tuân theo pháp </w:t>
            </w:r>
            <w:r w:rsidRPr="006561A1">
              <w:rPr>
                <w:rFonts w:cs="Times New Roman"/>
                <w:shd w:val="clear" w:color="auto" w:fill="FFFFFF"/>
                <w:lang w:val="vi-VN"/>
              </w:rPr>
              <w:lastRenderedPageBreak/>
              <w:t>luật, giữ bản lĩnh nghề nghiệp để không bị tác động từ bất kỳ sự can thiệp hay quan điểm nào;</w:t>
            </w:r>
          </w:p>
          <w:p w14:paraId="3A3DD8F2" w14:textId="77777777" w:rsidR="001F20DB" w:rsidRPr="006561A1" w:rsidRDefault="001F20DB" w:rsidP="006561A1">
            <w:pPr>
              <w:pStyle w:val="ListParagraph"/>
              <w:numPr>
                <w:ilvl w:val="2"/>
                <w:numId w:val="4"/>
              </w:numPr>
              <w:autoSpaceDE w:val="0"/>
              <w:autoSpaceDN w:val="0"/>
              <w:spacing w:after="120" w:line="276" w:lineRule="auto"/>
              <w:ind w:left="1440" w:hanging="873"/>
              <w:contextualSpacing w:val="0"/>
              <w:jc w:val="both"/>
              <w:rPr>
                <w:rFonts w:eastAsia="Calibri" w:cs="Times New Roman"/>
                <w:iCs/>
                <w:lang w:val="vi-VN"/>
              </w:rPr>
            </w:pPr>
            <w:r w:rsidRPr="006561A1">
              <w:rPr>
                <w:rFonts w:eastAsia="Calibri" w:cs="Times New Roman"/>
                <w:iCs/>
                <w:lang w:val="vi-VN"/>
              </w:rPr>
              <w:t>Trọng tài viên phải tạo cơ hội công bằng về mặt thủ tục tố tụng cho tất cả các bên trình bày chứng cứ và lập luận về các vấn đề có liên quan đến vụ tranh chấp;</w:t>
            </w:r>
          </w:p>
          <w:p w14:paraId="71B885CA" w14:textId="77777777" w:rsidR="001F20DB" w:rsidRPr="006561A1" w:rsidRDefault="001F20DB" w:rsidP="006561A1">
            <w:pPr>
              <w:pStyle w:val="ListParagraph"/>
              <w:numPr>
                <w:ilvl w:val="2"/>
                <w:numId w:val="4"/>
              </w:numPr>
              <w:autoSpaceDE w:val="0"/>
              <w:autoSpaceDN w:val="0"/>
              <w:spacing w:after="120" w:line="276" w:lineRule="auto"/>
              <w:ind w:left="1440" w:hanging="873"/>
              <w:contextualSpacing w:val="0"/>
              <w:jc w:val="both"/>
              <w:rPr>
                <w:rFonts w:eastAsia="Calibri" w:cs="Times New Roman"/>
                <w:iCs/>
                <w:lang w:val="vi-VN"/>
              </w:rPr>
            </w:pPr>
            <w:r w:rsidRPr="006561A1">
              <w:rPr>
                <w:rFonts w:eastAsia="Calibri" w:cs="Times New Roman"/>
                <w:lang w:val="vi-VN"/>
              </w:rPr>
              <w:t>Trọng tài viên không được nhận bất kỳ quà tặng hay ưu đãi nào, dù là trực tiếp hay gián tiếp, từ bất kỳ bên nào liên quan tới vụ tranh chấp;</w:t>
            </w:r>
          </w:p>
          <w:p w14:paraId="4EF19A55" w14:textId="77777777" w:rsidR="001F20DB" w:rsidRPr="006561A1" w:rsidRDefault="001F20DB" w:rsidP="006561A1">
            <w:pPr>
              <w:pStyle w:val="ListParagraph"/>
              <w:numPr>
                <w:ilvl w:val="2"/>
                <w:numId w:val="4"/>
              </w:numPr>
              <w:autoSpaceDE w:val="0"/>
              <w:autoSpaceDN w:val="0"/>
              <w:spacing w:after="120" w:line="276" w:lineRule="auto"/>
              <w:ind w:left="1440" w:hanging="873"/>
              <w:contextualSpacing w:val="0"/>
              <w:jc w:val="both"/>
              <w:rPr>
                <w:rFonts w:eastAsia="Calibri" w:cs="Times New Roman"/>
                <w:iCs/>
                <w:lang w:val="vi-VN"/>
              </w:rPr>
            </w:pPr>
            <w:r w:rsidRPr="006561A1">
              <w:rPr>
                <w:rFonts w:eastAsia="Calibri" w:cs="Times New Roman"/>
                <w:lang w:val="vi-VN"/>
              </w:rPr>
              <w:t xml:space="preserve">Trọng tài viên không được </w:t>
            </w:r>
            <w:r w:rsidRPr="006561A1">
              <w:rPr>
                <w:rFonts w:cs="Times New Roman"/>
                <w:shd w:val="clear" w:color="auto" w:fill="FFFFFF"/>
                <w:lang w:val="vi-VN"/>
              </w:rPr>
              <w:t>thiên vị bất cứ bên nào trong vụ tranh chấp</w:t>
            </w:r>
            <w:r w:rsidRPr="006561A1">
              <w:rPr>
                <w:rFonts w:eastAsia="Calibri" w:cs="Times New Roman"/>
                <w:lang w:val="vi-VN"/>
              </w:rPr>
              <w:t xml:space="preserve"> và không được có định kiến đối với một hoặc các bên hoặc với nhân chứng quan trọng hoặc có định kiến về vụ tranh chấp, làm ảnh hưởng đến quyết định về</w:t>
            </w:r>
            <w:r w:rsidRPr="006561A1">
              <w:rPr>
                <w:rFonts w:cs="Times New Roman"/>
                <w:lang w:val="vi-VN"/>
              </w:rPr>
              <w:t xml:space="preserve"> </w:t>
            </w:r>
            <w:r w:rsidRPr="006561A1">
              <w:rPr>
                <w:rFonts w:eastAsia="Calibri" w:cs="Times New Roman"/>
                <w:lang w:val="vi-VN"/>
              </w:rPr>
              <w:t xml:space="preserve">tranh chấp đó; </w:t>
            </w:r>
          </w:p>
          <w:p w14:paraId="25BA83C6" w14:textId="77777777" w:rsidR="001F20DB" w:rsidRPr="006561A1" w:rsidRDefault="001F20DB" w:rsidP="006561A1">
            <w:pPr>
              <w:pStyle w:val="ListParagraph"/>
              <w:numPr>
                <w:ilvl w:val="2"/>
                <w:numId w:val="4"/>
              </w:numPr>
              <w:autoSpaceDE w:val="0"/>
              <w:autoSpaceDN w:val="0"/>
              <w:spacing w:after="120" w:line="276" w:lineRule="auto"/>
              <w:ind w:left="1440" w:hanging="873"/>
              <w:contextualSpacing w:val="0"/>
              <w:jc w:val="both"/>
              <w:rPr>
                <w:rFonts w:eastAsia="Calibri" w:cs="Times New Roman"/>
                <w:iCs/>
                <w:lang w:val="vi-VN"/>
              </w:rPr>
            </w:pPr>
            <w:r w:rsidRPr="006561A1">
              <w:rPr>
                <w:rFonts w:cs="Times New Roman"/>
                <w:shd w:val="clear" w:color="auto" w:fill="FFFFFF"/>
                <w:lang w:val="vi-VN"/>
              </w:rPr>
              <w:t>Trọng tài viên phải nỗ lực đảm bảo tính độc lập, vô tư và khách quan khi giao tiếp với các bên trong vụ tranh chấp trong suốt quá trình tố tụng;</w:t>
            </w:r>
          </w:p>
          <w:p w14:paraId="26EF6381" w14:textId="08DA4CE2" w:rsidR="00D01FBA" w:rsidRPr="006561A1" w:rsidRDefault="001F20DB" w:rsidP="006561A1">
            <w:pPr>
              <w:pStyle w:val="ListParagraph"/>
              <w:numPr>
                <w:ilvl w:val="2"/>
                <w:numId w:val="4"/>
              </w:numPr>
              <w:autoSpaceDE w:val="0"/>
              <w:autoSpaceDN w:val="0"/>
              <w:spacing w:after="120" w:line="276" w:lineRule="auto"/>
              <w:ind w:left="1440" w:hanging="873"/>
              <w:contextualSpacing w:val="0"/>
              <w:jc w:val="both"/>
              <w:rPr>
                <w:rFonts w:eastAsia="Calibri" w:cs="Times New Roman"/>
                <w:iCs/>
                <w:lang w:val="vi-VN"/>
              </w:rPr>
            </w:pPr>
            <w:r w:rsidRPr="006561A1">
              <w:rPr>
                <w:rFonts w:cs="Times New Roman"/>
                <w:shd w:val="clear" w:color="auto" w:fill="FFFFFF"/>
                <w:lang w:val="vi-VN"/>
              </w:rPr>
              <w:t>Trọng tài viên không thực hiện những hành động, phát biểu hay bình luận tại phiên họp giải quyết tranh chấp, trước công chúng hoặc truyền thông mà gây ảnh hưởng tới việc giải quyết vụ tranh chấp một cách độc lập, vô tư và khách quan.</w:t>
            </w:r>
          </w:p>
        </w:tc>
        <w:tc>
          <w:tcPr>
            <w:tcW w:w="7174" w:type="dxa"/>
          </w:tcPr>
          <w:p w14:paraId="48C90F60" w14:textId="77777777" w:rsidR="00D01FBA" w:rsidRPr="006561A1" w:rsidRDefault="00D01FBA" w:rsidP="006561A1">
            <w:pPr>
              <w:spacing w:after="120" w:line="276" w:lineRule="auto"/>
              <w:jc w:val="center"/>
              <w:rPr>
                <w:lang w:val="vi-VN"/>
              </w:rPr>
            </w:pPr>
          </w:p>
        </w:tc>
      </w:tr>
      <w:tr w:rsidR="00D01FBA" w:rsidRPr="006561A1" w14:paraId="5D6D8DD0" w14:textId="77777777" w:rsidTr="00D243F3">
        <w:tc>
          <w:tcPr>
            <w:tcW w:w="6996" w:type="dxa"/>
          </w:tcPr>
          <w:p w14:paraId="55469950" w14:textId="26C0C20D" w:rsidR="00D01FBA" w:rsidRPr="006561A1" w:rsidRDefault="005D4385" w:rsidP="006561A1">
            <w:pPr>
              <w:pStyle w:val="ListParagraph"/>
              <w:numPr>
                <w:ilvl w:val="0"/>
                <w:numId w:val="4"/>
              </w:numPr>
              <w:autoSpaceDE w:val="0"/>
              <w:autoSpaceDN w:val="0"/>
              <w:spacing w:after="120" w:line="276" w:lineRule="auto"/>
              <w:ind w:left="567" w:hanging="567"/>
              <w:contextualSpacing w:val="0"/>
              <w:jc w:val="both"/>
              <w:rPr>
                <w:rFonts w:eastAsia="Calibri" w:cs="Times New Roman"/>
                <w:b/>
                <w:bCs/>
                <w:iCs/>
                <w:lang w:val="vi-VN"/>
              </w:rPr>
            </w:pPr>
            <w:r w:rsidRPr="006561A1">
              <w:rPr>
                <w:rFonts w:eastAsia="Calibri" w:cs="Times New Roman"/>
                <w:b/>
                <w:bCs/>
                <w:iCs/>
                <w:lang w:val="vi-VN"/>
              </w:rPr>
              <w:t>Công khai</w:t>
            </w:r>
          </w:p>
        </w:tc>
        <w:tc>
          <w:tcPr>
            <w:tcW w:w="7174" w:type="dxa"/>
          </w:tcPr>
          <w:p w14:paraId="10746C5B" w14:textId="77777777" w:rsidR="00D01FBA" w:rsidRPr="006561A1" w:rsidRDefault="00D01FBA" w:rsidP="006561A1">
            <w:pPr>
              <w:spacing w:after="120" w:line="276" w:lineRule="auto"/>
              <w:jc w:val="center"/>
              <w:rPr>
                <w:lang w:val="vi-VN"/>
              </w:rPr>
            </w:pPr>
          </w:p>
        </w:tc>
      </w:tr>
      <w:tr w:rsidR="00D01FBA" w:rsidRPr="006561A1" w14:paraId="54BA4E4F" w14:textId="77777777" w:rsidTr="00D243F3">
        <w:tc>
          <w:tcPr>
            <w:tcW w:w="6996" w:type="dxa"/>
          </w:tcPr>
          <w:p w14:paraId="0FA15E84" w14:textId="50A20F13" w:rsidR="00D01FBA" w:rsidRPr="006561A1" w:rsidRDefault="008C01DF" w:rsidP="006561A1">
            <w:pPr>
              <w:autoSpaceDE w:val="0"/>
              <w:autoSpaceDN w:val="0"/>
              <w:spacing w:after="120" w:line="276" w:lineRule="auto"/>
              <w:ind w:left="567" w:hanging="567"/>
              <w:jc w:val="both"/>
              <w:rPr>
                <w:rFonts w:eastAsia="Calibri" w:cs="Times New Roman"/>
                <w:lang w:val="vi-VN"/>
              </w:rPr>
            </w:pPr>
            <w:r w:rsidRPr="006561A1">
              <w:rPr>
                <w:rFonts w:eastAsia="Calibri" w:cs="Times New Roman"/>
                <w:lang w:val="vi-VN"/>
              </w:rPr>
              <w:lastRenderedPageBreak/>
              <w:t xml:space="preserve">4.1    Trong suốt quá trình tố tụng trọng tài, Trọng tài viên có nghĩa vụ phải thông báo kịp  thời về bất kỳ sự việc, tình tiết nào có thể gây ảnh hưởng đến tính độc lập, vô tư và khách quan của mình. </w:t>
            </w:r>
          </w:p>
        </w:tc>
        <w:tc>
          <w:tcPr>
            <w:tcW w:w="7174" w:type="dxa"/>
          </w:tcPr>
          <w:p w14:paraId="3CB3B1D7" w14:textId="77777777" w:rsidR="00D01FBA" w:rsidRPr="006561A1" w:rsidRDefault="00D01FBA" w:rsidP="006561A1">
            <w:pPr>
              <w:spacing w:after="120" w:line="276" w:lineRule="auto"/>
              <w:jc w:val="center"/>
              <w:rPr>
                <w:lang w:val="vi-VN"/>
              </w:rPr>
            </w:pPr>
          </w:p>
        </w:tc>
      </w:tr>
      <w:tr w:rsidR="00D01FBA" w:rsidRPr="006561A1" w14:paraId="24CAB9AC" w14:textId="77777777" w:rsidTr="00D243F3">
        <w:tc>
          <w:tcPr>
            <w:tcW w:w="6996" w:type="dxa"/>
          </w:tcPr>
          <w:p w14:paraId="2DB47F82" w14:textId="0122AD46" w:rsidR="00D01FBA" w:rsidRPr="006561A1" w:rsidRDefault="00EA0ECD" w:rsidP="006561A1">
            <w:pPr>
              <w:pStyle w:val="ListParagraph"/>
              <w:numPr>
                <w:ilvl w:val="1"/>
                <w:numId w:val="6"/>
              </w:numPr>
              <w:autoSpaceDE w:val="0"/>
              <w:autoSpaceDN w:val="0"/>
              <w:spacing w:after="120" w:line="276" w:lineRule="auto"/>
              <w:ind w:left="567" w:hanging="567"/>
              <w:contextualSpacing w:val="0"/>
              <w:jc w:val="both"/>
              <w:rPr>
                <w:rFonts w:eastAsia="Calibri" w:cs="Times New Roman"/>
                <w:lang w:val="vi-VN"/>
              </w:rPr>
            </w:pPr>
            <w:r w:rsidRPr="006561A1">
              <w:rPr>
                <w:rFonts w:eastAsia="Calibri" w:cs="Times New Roman"/>
                <w:lang w:val="vi-VN"/>
              </w:rPr>
              <w:t>Trọng tài viên phải nỗ lực hợp lý kiểm tra xung đột lợi ích và thực hiện nghĩa vụ công khai, một cách đầy đủ và nghiêm ngặt, với VIAC và các bên như hướng dẫn tại Bản tuyên bố Trọng tài viên VIAC ở thời điểm chọn.chỉ định cũng như trong suốt quá trình tố tụng.</w:t>
            </w:r>
          </w:p>
        </w:tc>
        <w:tc>
          <w:tcPr>
            <w:tcW w:w="7174" w:type="dxa"/>
          </w:tcPr>
          <w:p w14:paraId="008C6351" w14:textId="77777777" w:rsidR="00D01FBA" w:rsidRPr="006561A1" w:rsidRDefault="00D01FBA" w:rsidP="006561A1">
            <w:pPr>
              <w:spacing w:after="120" w:line="276" w:lineRule="auto"/>
              <w:jc w:val="center"/>
              <w:rPr>
                <w:lang w:val="vi-VN"/>
              </w:rPr>
            </w:pPr>
          </w:p>
        </w:tc>
      </w:tr>
      <w:tr w:rsidR="00D01FBA" w:rsidRPr="006561A1" w14:paraId="0009A4DF" w14:textId="77777777" w:rsidTr="00D243F3">
        <w:tc>
          <w:tcPr>
            <w:tcW w:w="6996" w:type="dxa"/>
          </w:tcPr>
          <w:p w14:paraId="67738998" w14:textId="4B799F50" w:rsidR="00D01FBA" w:rsidRPr="006561A1" w:rsidRDefault="005528B0" w:rsidP="006561A1">
            <w:pPr>
              <w:pStyle w:val="ListParagraph"/>
              <w:numPr>
                <w:ilvl w:val="0"/>
                <w:numId w:val="4"/>
              </w:numPr>
              <w:autoSpaceDE w:val="0"/>
              <w:autoSpaceDN w:val="0"/>
              <w:spacing w:after="120" w:line="276" w:lineRule="auto"/>
              <w:ind w:left="567" w:hanging="567"/>
              <w:contextualSpacing w:val="0"/>
              <w:jc w:val="both"/>
              <w:rPr>
                <w:rFonts w:eastAsia="Calibri" w:cs="Times New Roman"/>
                <w:b/>
                <w:bCs/>
                <w:iCs/>
                <w:lang w:val="vi-VN"/>
              </w:rPr>
            </w:pPr>
            <w:r w:rsidRPr="006561A1">
              <w:rPr>
                <w:rFonts w:eastAsia="Calibri" w:cs="Times New Roman"/>
                <w:b/>
                <w:bCs/>
                <w:iCs/>
                <w:lang w:val="vi-VN"/>
              </w:rPr>
              <w:t>Việc liên lạc</w:t>
            </w:r>
          </w:p>
        </w:tc>
        <w:tc>
          <w:tcPr>
            <w:tcW w:w="7174" w:type="dxa"/>
          </w:tcPr>
          <w:p w14:paraId="56727544" w14:textId="77777777" w:rsidR="00D01FBA" w:rsidRPr="006561A1" w:rsidRDefault="00D01FBA" w:rsidP="006561A1">
            <w:pPr>
              <w:spacing w:after="120" w:line="276" w:lineRule="auto"/>
              <w:jc w:val="center"/>
              <w:rPr>
                <w:lang w:val="vi-VN"/>
              </w:rPr>
            </w:pPr>
          </w:p>
        </w:tc>
      </w:tr>
      <w:tr w:rsidR="00D01FBA" w:rsidRPr="006561A1" w14:paraId="15352631" w14:textId="77777777" w:rsidTr="00D243F3">
        <w:tc>
          <w:tcPr>
            <w:tcW w:w="6996" w:type="dxa"/>
          </w:tcPr>
          <w:p w14:paraId="1C0F03C4" w14:textId="2A7FFE63" w:rsidR="00D01FBA" w:rsidRPr="006561A1" w:rsidRDefault="001B57A3"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lang w:val="vi-VN"/>
              </w:rPr>
            </w:pPr>
            <w:r w:rsidRPr="006561A1">
              <w:rPr>
                <w:rFonts w:eastAsia="Calibri" w:cs="Times New Roman"/>
                <w:lang w:val="vi-VN"/>
              </w:rPr>
              <w:t xml:space="preserve">Trong quá trình tố tụng trọng tài, Trọng tài viên không được gặp hoặc liên lạc riêng với </w:t>
            </w:r>
            <w:r w:rsidRPr="006561A1">
              <w:rPr>
                <w:rFonts w:cs="Times New Roman"/>
                <w:lang w:val="vi-VN"/>
              </w:rPr>
              <w:t xml:space="preserve"> </w:t>
            </w:r>
            <w:r w:rsidRPr="006561A1">
              <w:rPr>
                <w:rFonts w:eastAsia="Calibri" w:cs="Times New Roman"/>
                <w:lang w:val="vi-VN"/>
              </w:rPr>
              <w:t>bất kỳ bên nào, luật sư hoặc người đại diện của bất kỳ bên nào để trao đổi các vấn đề liên quan đến vụ tranh chấp.</w:t>
            </w:r>
          </w:p>
        </w:tc>
        <w:tc>
          <w:tcPr>
            <w:tcW w:w="7174" w:type="dxa"/>
          </w:tcPr>
          <w:p w14:paraId="07103E5D" w14:textId="77777777" w:rsidR="00D01FBA" w:rsidRPr="006561A1" w:rsidRDefault="00D01FBA" w:rsidP="006561A1">
            <w:pPr>
              <w:spacing w:after="120" w:line="276" w:lineRule="auto"/>
              <w:jc w:val="center"/>
              <w:rPr>
                <w:lang w:val="vi-VN"/>
              </w:rPr>
            </w:pPr>
          </w:p>
        </w:tc>
      </w:tr>
      <w:tr w:rsidR="00D01FBA" w:rsidRPr="006561A1" w14:paraId="2111472F" w14:textId="77777777" w:rsidTr="00D243F3">
        <w:tc>
          <w:tcPr>
            <w:tcW w:w="6996" w:type="dxa"/>
          </w:tcPr>
          <w:p w14:paraId="16D06ADC" w14:textId="1AFCCEB2" w:rsidR="00D01FBA" w:rsidRPr="006561A1" w:rsidRDefault="00525C64"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b/>
                <w:bCs/>
                <w:iCs/>
                <w:lang w:val="vi-VN"/>
              </w:rPr>
            </w:pPr>
            <w:r w:rsidRPr="006561A1">
              <w:rPr>
                <w:rStyle w:val="normaltextrun"/>
                <w:rFonts w:cs="Times New Roman"/>
                <w:shd w:val="clear" w:color="auto" w:fill="FFFFFF"/>
                <w:lang w:val="vi-VN"/>
              </w:rPr>
              <w:t>Trong trường hợp có sự gặp gỡ hoặc liên lạc riêng giữa Trọng tài viên với một bên, luật sư hoặc người đại diện của bên đó và các vấn đề liên quan đến vụ tranh chấp được đưa ra, Trọng tài viên phải ngay lập tức dừng buổi gặp gỡ hoặc trao đổi và công khai các thông tin liên quan tới sự việc trên cho VIAC, các trọng tài viên và bên còn lại hoặc các bên liên quan.</w:t>
            </w:r>
            <w:r w:rsidRPr="006561A1">
              <w:rPr>
                <w:rStyle w:val="eop"/>
                <w:rFonts w:cs="Times New Roman"/>
                <w:shd w:val="clear" w:color="auto" w:fill="FFFFFF"/>
                <w:lang w:val="vi-VN"/>
              </w:rPr>
              <w:t> </w:t>
            </w:r>
          </w:p>
        </w:tc>
        <w:tc>
          <w:tcPr>
            <w:tcW w:w="7174" w:type="dxa"/>
          </w:tcPr>
          <w:p w14:paraId="54A034AA" w14:textId="77777777" w:rsidR="00D01FBA" w:rsidRPr="006561A1" w:rsidRDefault="00D01FBA" w:rsidP="006561A1">
            <w:pPr>
              <w:spacing w:after="120" w:line="276" w:lineRule="auto"/>
              <w:jc w:val="center"/>
              <w:rPr>
                <w:lang w:val="vi-VN"/>
              </w:rPr>
            </w:pPr>
          </w:p>
        </w:tc>
      </w:tr>
      <w:tr w:rsidR="00D01FBA" w:rsidRPr="006561A1" w14:paraId="40763719" w14:textId="77777777" w:rsidTr="00D243F3">
        <w:tc>
          <w:tcPr>
            <w:tcW w:w="6996" w:type="dxa"/>
          </w:tcPr>
          <w:p w14:paraId="451EA10D" w14:textId="77777777" w:rsidR="00D77BDB" w:rsidRPr="006561A1" w:rsidRDefault="00D77BDB" w:rsidP="006561A1">
            <w:pPr>
              <w:pStyle w:val="ListParagraph"/>
              <w:numPr>
                <w:ilvl w:val="0"/>
                <w:numId w:val="4"/>
              </w:numPr>
              <w:autoSpaceDE w:val="0"/>
              <w:autoSpaceDN w:val="0"/>
              <w:spacing w:after="120" w:line="276" w:lineRule="auto"/>
              <w:ind w:left="567" w:hanging="567"/>
              <w:contextualSpacing w:val="0"/>
              <w:jc w:val="both"/>
              <w:rPr>
                <w:rFonts w:eastAsia="Calibri" w:cs="Times New Roman"/>
                <w:b/>
                <w:bCs/>
                <w:iCs/>
                <w:lang w:val="vi-VN"/>
              </w:rPr>
            </w:pPr>
            <w:r w:rsidRPr="006561A1">
              <w:rPr>
                <w:rFonts w:eastAsia="Calibri" w:cs="Times New Roman"/>
                <w:b/>
                <w:bCs/>
                <w:iCs/>
                <w:lang w:val="vi-VN"/>
              </w:rPr>
              <w:t>Mẫn cán</w:t>
            </w:r>
          </w:p>
          <w:p w14:paraId="582DEB83" w14:textId="22EA1FD6" w:rsidR="00D01FBA" w:rsidRPr="006561A1" w:rsidRDefault="006720A8" w:rsidP="006561A1">
            <w:pPr>
              <w:pStyle w:val="ListParagraph"/>
              <w:autoSpaceDE w:val="0"/>
              <w:autoSpaceDN w:val="0"/>
              <w:spacing w:after="120" w:line="276" w:lineRule="auto"/>
              <w:ind w:left="567"/>
              <w:contextualSpacing w:val="0"/>
              <w:jc w:val="both"/>
              <w:rPr>
                <w:rFonts w:eastAsia="Calibri" w:cs="Times New Roman"/>
                <w:iCs/>
                <w:lang w:val="vi-VN"/>
              </w:rPr>
            </w:pPr>
            <w:r w:rsidRPr="006561A1">
              <w:rPr>
                <w:rFonts w:eastAsia="Calibri" w:cs="Times New Roman"/>
                <w:iCs/>
                <w:lang w:val="vi-VN"/>
              </w:rPr>
              <w:t>Trọng tài viên cần:</w:t>
            </w:r>
          </w:p>
        </w:tc>
        <w:tc>
          <w:tcPr>
            <w:tcW w:w="7174" w:type="dxa"/>
          </w:tcPr>
          <w:p w14:paraId="74B0DF5F" w14:textId="77777777" w:rsidR="00D01FBA" w:rsidRPr="006561A1" w:rsidRDefault="00D01FBA" w:rsidP="006561A1">
            <w:pPr>
              <w:spacing w:after="120" w:line="276" w:lineRule="auto"/>
              <w:jc w:val="center"/>
              <w:rPr>
                <w:lang w:val="vi-VN"/>
              </w:rPr>
            </w:pPr>
          </w:p>
        </w:tc>
      </w:tr>
      <w:tr w:rsidR="006720A8" w:rsidRPr="006561A1" w14:paraId="02F4DFDB" w14:textId="77777777" w:rsidTr="00D243F3">
        <w:tc>
          <w:tcPr>
            <w:tcW w:w="6996" w:type="dxa"/>
          </w:tcPr>
          <w:p w14:paraId="5F704910" w14:textId="2EB656C9" w:rsidR="006720A8" w:rsidRPr="006561A1" w:rsidRDefault="00EB4026" w:rsidP="006561A1">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cs="Times New Roman"/>
                <w:lang w:val="vi-VN" w:eastAsia="zh-CN"/>
                <w14:ligatures w14:val="standardContextual"/>
              </w:rPr>
              <w:lastRenderedPageBreak/>
              <w:t>Thực hiện các công việc của mình trong thủ tục tố tụng một cách mẫn cán với tinh thần trách nhiệm, nỗ lực hợp lý trong thẩm quyền của mình để giải quyết tranh chấp một cách thấu đáo và toàn diện;</w:t>
            </w:r>
          </w:p>
        </w:tc>
        <w:tc>
          <w:tcPr>
            <w:tcW w:w="7174" w:type="dxa"/>
          </w:tcPr>
          <w:p w14:paraId="71AFDE6D" w14:textId="77777777" w:rsidR="006720A8" w:rsidRPr="006561A1" w:rsidRDefault="006720A8" w:rsidP="006561A1">
            <w:pPr>
              <w:spacing w:after="120" w:line="276" w:lineRule="auto"/>
              <w:jc w:val="center"/>
              <w:rPr>
                <w:lang w:val="vi-VN"/>
              </w:rPr>
            </w:pPr>
          </w:p>
        </w:tc>
      </w:tr>
      <w:tr w:rsidR="006720A8" w:rsidRPr="006561A1" w14:paraId="4AF63436" w14:textId="77777777" w:rsidTr="00D243F3">
        <w:tc>
          <w:tcPr>
            <w:tcW w:w="6996" w:type="dxa"/>
          </w:tcPr>
          <w:p w14:paraId="37035DDA" w14:textId="3FA287C4" w:rsidR="006720A8" w:rsidRPr="006561A1" w:rsidRDefault="00214C94" w:rsidP="006561A1">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cs="Times New Roman"/>
                <w:lang w:val="vi-VN" w:eastAsia="zh-CN"/>
                <w14:ligatures w14:val="standardContextual"/>
              </w:rPr>
              <w:t>Bảo đảm dành đủ thời gian cho vụ tranh chấp; Đưa ra các quyết định trong khoảng thời gian hợp lý và theo các hướng dẫn tại Bản hướng dẫn về tố tụng dành cho Trọng tài viên của VIAC để đảm bảo việc giải quyết tranh chấp hiệu quả về thời gian và chi phí.</w:t>
            </w:r>
          </w:p>
        </w:tc>
        <w:tc>
          <w:tcPr>
            <w:tcW w:w="7174" w:type="dxa"/>
          </w:tcPr>
          <w:p w14:paraId="173442DF" w14:textId="77777777" w:rsidR="006720A8" w:rsidRPr="006561A1" w:rsidRDefault="006720A8" w:rsidP="006561A1">
            <w:pPr>
              <w:spacing w:after="120" w:line="276" w:lineRule="auto"/>
              <w:jc w:val="center"/>
              <w:rPr>
                <w:lang w:val="vi-VN"/>
              </w:rPr>
            </w:pPr>
          </w:p>
        </w:tc>
      </w:tr>
      <w:tr w:rsidR="006720A8" w:rsidRPr="006561A1" w14:paraId="2E7254D1" w14:textId="77777777" w:rsidTr="00D243F3">
        <w:tc>
          <w:tcPr>
            <w:tcW w:w="6996" w:type="dxa"/>
          </w:tcPr>
          <w:p w14:paraId="52A66EDF" w14:textId="3CCCD11D" w:rsidR="006720A8" w:rsidRPr="006561A1" w:rsidRDefault="00C45CCB" w:rsidP="006561A1">
            <w:pPr>
              <w:pStyle w:val="ListParagraph"/>
              <w:numPr>
                <w:ilvl w:val="0"/>
                <w:numId w:val="4"/>
              </w:numPr>
              <w:autoSpaceDE w:val="0"/>
              <w:autoSpaceDN w:val="0"/>
              <w:spacing w:after="120" w:line="276" w:lineRule="auto"/>
              <w:ind w:left="567" w:hanging="539"/>
              <w:contextualSpacing w:val="0"/>
              <w:jc w:val="both"/>
              <w:rPr>
                <w:rFonts w:eastAsia="Calibri" w:cs="Times New Roman"/>
                <w:b/>
                <w:bCs/>
                <w:iCs/>
                <w:lang w:val="vi-VN"/>
              </w:rPr>
            </w:pPr>
            <w:r w:rsidRPr="006561A1">
              <w:rPr>
                <w:rFonts w:eastAsia="Calibri" w:cs="Times New Roman"/>
                <w:b/>
                <w:bCs/>
                <w:iCs/>
                <w:lang w:val="vi-VN"/>
              </w:rPr>
              <w:t xml:space="preserve">Chuyên nghiệp </w:t>
            </w:r>
          </w:p>
        </w:tc>
        <w:tc>
          <w:tcPr>
            <w:tcW w:w="7174" w:type="dxa"/>
          </w:tcPr>
          <w:p w14:paraId="55F83767" w14:textId="77777777" w:rsidR="006720A8" w:rsidRPr="006561A1" w:rsidRDefault="006720A8" w:rsidP="006561A1">
            <w:pPr>
              <w:spacing w:after="120" w:line="276" w:lineRule="auto"/>
              <w:jc w:val="center"/>
              <w:rPr>
                <w:lang w:val="vi-VN"/>
              </w:rPr>
            </w:pPr>
          </w:p>
        </w:tc>
      </w:tr>
      <w:tr w:rsidR="00C45CCB" w:rsidRPr="006561A1" w14:paraId="26F9D6C6" w14:textId="77777777" w:rsidTr="00D243F3">
        <w:tc>
          <w:tcPr>
            <w:tcW w:w="6996" w:type="dxa"/>
          </w:tcPr>
          <w:p w14:paraId="12386F18" w14:textId="53A317BC" w:rsidR="00C45CCB" w:rsidRPr="006561A1" w:rsidRDefault="00002E03" w:rsidP="006561A1">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cs="Times New Roman"/>
                <w:lang w:val="vi-VN" w:eastAsia="zh-CN"/>
                <w14:ligatures w14:val="standardContextual"/>
              </w:rPr>
              <w:t>Trọng tài viên chỉ được chấp nhận giải quyết vụ tranh chấp khi có năng lực, hiểu biết và kinh nghiệm cần thiết về giải quyết Vụ tranh chấp bằng trọng tài tại VIAC.</w:t>
            </w:r>
          </w:p>
        </w:tc>
        <w:tc>
          <w:tcPr>
            <w:tcW w:w="7174" w:type="dxa"/>
          </w:tcPr>
          <w:p w14:paraId="1A0AAF75" w14:textId="77777777" w:rsidR="00C45CCB" w:rsidRPr="006561A1" w:rsidRDefault="00C45CCB" w:rsidP="006561A1">
            <w:pPr>
              <w:spacing w:after="120" w:line="276" w:lineRule="auto"/>
              <w:jc w:val="center"/>
              <w:rPr>
                <w:lang w:val="vi-VN"/>
              </w:rPr>
            </w:pPr>
          </w:p>
        </w:tc>
      </w:tr>
      <w:tr w:rsidR="00C45CCB" w:rsidRPr="00D243F3" w14:paraId="60DAF545" w14:textId="77777777" w:rsidTr="00D243F3">
        <w:tc>
          <w:tcPr>
            <w:tcW w:w="6996" w:type="dxa"/>
          </w:tcPr>
          <w:p w14:paraId="67F69BB9" w14:textId="77777777" w:rsidR="00E01E9C" w:rsidRPr="006561A1" w:rsidRDefault="00E01E9C" w:rsidP="006561A1">
            <w:pPr>
              <w:pStyle w:val="ListParagraph"/>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cs="Times New Roman"/>
                <w:lang w:val="vi-VN" w:eastAsia="zh-CN"/>
                <w14:ligatures w14:val="standardContextual"/>
              </w:rPr>
              <w:t xml:space="preserve">Khoản 1 Điều này được hiểu rằng: </w:t>
            </w:r>
          </w:p>
          <w:p w14:paraId="7AC0F36D" w14:textId="77777777" w:rsidR="00E01E9C" w:rsidRPr="006561A1" w:rsidRDefault="00E01E9C" w:rsidP="006561A1">
            <w:pPr>
              <w:pStyle w:val="ListParagraph"/>
              <w:numPr>
                <w:ilvl w:val="2"/>
                <w:numId w:val="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418" w:hanging="851"/>
              <w:contextualSpacing w:val="0"/>
              <w:jc w:val="both"/>
              <w:rPr>
                <w:rFonts w:cs="Times New Roman"/>
                <w:lang w:val="vi-VN" w:eastAsia="zh-CN"/>
                <w14:ligatures w14:val="standardContextual"/>
              </w:rPr>
            </w:pPr>
            <w:r w:rsidRPr="006561A1">
              <w:rPr>
                <w:rFonts w:cs="Times New Roman"/>
                <w:lang w:val="vi-VN" w:eastAsia="zh-CN"/>
                <w14:ligatures w14:val="standardContextual"/>
              </w:rPr>
              <w:t>Trọng tài viên có đủ khả năng ngôn ngữ để giải quyết tranh chấp bằng ngôn ngữ trọng tài, thông qua việc:</w:t>
            </w:r>
          </w:p>
          <w:p w14:paraId="57479A07" w14:textId="77777777" w:rsidR="00E01E9C" w:rsidRPr="006561A1" w:rsidRDefault="00E01E9C" w:rsidP="006561A1">
            <w:pPr>
              <w:pStyle w:val="ListParagraph"/>
              <w:numPr>
                <w:ilvl w:val="0"/>
                <w:numId w:val="7"/>
              </w:numPr>
              <w:tabs>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620"/>
              <w:contextualSpacing w:val="0"/>
              <w:jc w:val="both"/>
              <w:rPr>
                <w:rFonts w:cs="Times New Roman"/>
                <w:lang w:val="vi-VN"/>
              </w:rPr>
            </w:pPr>
            <w:r w:rsidRPr="006561A1">
              <w:rPr>
                <w:rFonts w:cs="Times New Roman"/>
                <w:lang w:val="vi-VN"/>
              </w:rPr>
              <w:t>Trọng tài viên phải cung cấp bằng cấp, chứng chỉ ngoại ngữ hoặc tài liệu khác chứng minh đủ khả năng giải quyết vụ tranh chấp bằng ngôn ngữ trọng tài, trừ trường hợp ngôn ngữ trọng tài là ngôn ngữ mẹ đẻ</w:t>
            </w:r>
            <w:r w:rsidRPr="006561A1">
              <w:rPr>
                <w:rStyle w:val="FootnoteReference"/>
                <w:rFonts w:cs="Times New Roman"/>
                <w:lang w:val="vi-VN"/>
              </w:rPr>
              <w:footnoteReference w:id="3"/>
            </w:r>
            <w:r w:rsidRPr="006561A1">
              <w:rPr>
                <w:rFonts w:cs="Times New Roman"/>
                <w:lang w:val="vi-VN"/>
              </w:rPr>
              <w:t xml:space="preserve"> của Trọng tài viên. </w:t>
            </w:r>
          </w:p>
          <w:p w14:paraId="70ECDB14" w14:textId="77777777" w:rsidR="00E01E9C" w:rsidRPr="006561A1" w:rsidRDefault="00E01E9C" w:rsidP="006561A1">
            <w:pPr>
              <w:pStyle w:val="ListParagraph"/>
              <w:numPr>
                <w:ilvl w:val="0"/>
                <w:numId w:val="7"/>
              </w:numPr>
              <w:tabs>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620"/>
              <w:contextualSpacing w:val="0"/>
              <w:jc w:val="both"/>
              <w:rPr>
                <w:rFonts w:cs="Times New Roman"/>
                <w:lang w:val="vi-VN"/>
              </w:rPr>
            </w:pPr>
            <w:r w:rsidRPr="006561A1">
              <w:rPr>
                <w:rFonts w:cs="Times New Roman"/>
                <w:lang w:val="vi-VN"/>
              </w:rPr>
              <w:lastRenderedPageBreak/>
              <w:t xml:space="preserve">Trường hợp chưa xác định được ngôn ngữ trọng tài thì Trọng tài viên cần bảo đảm khả năng đọc hiểu ngôn ngữ của hồ sơ, tài liệu vụ tranh chấp tại thời điểm nhận được thông báo về việc được chọn hoặc được chỉ định làm Trọng tài viên. </w:t>
            </w:r>
          </w:p>
          <w:p w14:paraId="499D749E" w14:textId="77777777" w:rsidR="00E01E9C" w:rsidRPr="006561A1" w:rsidRDefault="00E01E9C" w:rsidP="006561A1">
            <w:pPr>
              <w:pStyle w:val="ListParagraph"/>
              <w:numPr>
                <w:ilvl w:val="0"/>
                <w:numId w:val="7"/>
              </w:numPr>
              <w:tabs>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620"/>
              <w:contextualSpacing w:val="0"/>
              <w:jc w:val="both"/>
              <w:rPr>
                <w:rFonts w:cs="Times New Roman"/>
                <w:lang w:val="vi-VN" w:eastAsia="zh-CN"/>
                <w14:ligatures w14:val="standardContextual"/>
              </w:rPr>
            </w:pPr>
            <w:r w:rsidRPr="006561A1">
              <w:rPr>
                <w:rFonts w:cs="Times New Roman"/>
                <w:lang w:val="vi-VN"/>
              </w:rPr>
              <w:t>Trường hợp vụ tranh chấp được xác định tiến hành bằng nhiều ngôn ngữ thì Trọng tài viên cần có đủ khả năng giải quyết vụ tranh chấp bằng ít nhất một (01) ngôn ngữ trong số các ngôn ngữ trọng tài.</w:t>
            </w:r>
          </w:p>
          <w:p w14:paraId="388FB009" w14:textId="77777777" w:rsidR="00E01E9C" w:rsidRPr="006561A1" w:rsidRDefault="00E01E9C" w:rsidP="006561A1">
            <w:pPr>
              <w:pStyle w:val="ListParagraph"/>
              <w:numPr>
                <w:ilvl w:val="2"/>
                <w:numId w:val="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418" w:hanging="851"/>
              <w:contextualSpacing w:val="0"/>
              <w:jc w:val="both"/>
              <w:rPr>
                <w:rFonts w:cs="Times New Roman"/>
                <w:lang w:val="vi-VN" w:eastAsia="zh-CN"/>
                <w14:ligatures w14:val="standardContextual"/>
              </w:rPr>
            </w:pPr>
            <w:r w:rsidRPr="006561A1">
              <w:rPr>
                <w:rFonts w:cs="Times New Roman"/>
                <w:lang w:val="vi-VN" w:eastAsia="zh-CN"/>
                <w14:ligatures w14:val="standardContextual"/>
              </w:rPr>
              <w:t>Trọng tài viên có hiểu biết kinh nghiệm trong lĩnh vực trọng tài tại Việt Nam và/hoặc trọng tài quốc tế, thông qua việc:</w:t>
            </w:r>
          </w:p>
          <w:p w14:paraId="7B610C8D" w14:textId="77777777" w:rsidR="00E01E9C" w:rsidRPr="006561A1" w:rsidRDefault="00E01E9C" w:rsidP="006561A1">
            <w:pPr>
              <w:pStyle w:val="ListParagraph"/>
              <w:numPr>
                <w:ilvl w:val="2"/>
                <w:numId w:val="8"/>
              </w:numPr>
              <w:autoSpaceDE w:val="0"/>
              <w:autoSpaceDN w:val="0"/>
              <w:spacing w:after="120" w:line="276" w:lineRule="auto"/>
              <w:ind w:left="1620"/>
              <w:contextualSpacing w:val="0"/>
              <w:jc w:val="both"/>
              <w:rPr>
                <w:rFonts w:cs="Times New Roman"/>
                <w:shd w:val="clear" w:color="auto" w:fill="FFFFFF"/>
                <w:lang w:val="vi-VN"/>
              </w:rPr>
            </w:pPr>
            <w:r w:rsidRPr="006561A1">
              <w:rPr>
                <w:rFonts w:cs="Times New Roman"/>
                <w:shd w:val="clear" w:color="auto" w:fill="FFFFFF"/>
                <w:lang w:val="vi-VN"/>
              </w:rPr>
              <w:t>Trọng tài viên có tên trong Danh sách Trọng tài viên VIAC và tham gia đầy đủ các chương trình sinh hoạt chuyên đề do VIAC tổ chức trong năm liền trước hoặc trong năm liền trước đó đã tham gia giải quyết ít nhất 02 vụ tranh chấp tại VIAC với tư cách Trọng tài viên/Chủ tịch Hội đồng Trọng tài; hoặc</w:t>
            </w:r>
          </w:p>
          <w:p w14:paraId="552B81C5" w14:textId="77777777" w:rsidR="00E01E9C" w:rsidRPr="006561A1" w:rsidRDefault="00E01E9C" w:rsidP="006561A1">
            <w:pPr>
              <w:pStyle w:val="ListParagraph"/>
              <w:numPr>
                <w:ilvl w:val="2"/>
                <w:numId w:val="8"/>
              </w:numPr>
              <w:autoSpaceDE w:val="0"/>
              <w:autoSpaceDN w:val="0"/>
              <w:spacing w:after="120" w:line="276" w:lineRule="auto"/>
              <w:ind w:left="1620"/>
              <w:contextualSpacing w:val="0"/>
              <w:jc w:val="both"/>
              <w:rPr>
                <w:rFonts w:cs="Times New Roman"/>
                <w:shd w:val="clear" w:color="auto" w:fill="FFFFFF"/>
                <w:lang w:val="vi-VN"/>
              </w:rPr>
            </w:pPr>
            <w:r w:rsidRPr="006561A1">
              <w:rPr>
                <w:rFonts w:cs="Times New Roman"/>
                <w:shd w:val="clear" w:color="auto" w:fill="FFFFFF"/>
                <w:lang w:val="vi-VN"/>
              </w:rPr>
              <w:t>Trọng tài viên là thành viên</w:t>
            </w:r>
            <w:r w:rsidRPr="006561A1">
              <w:rPr>
                <w:rStyle w:val="FootnoteReference"/>
                <w:rFonts w:cs="Times New Roman"/>
                <w:shd w:val="clear" w:color="auto" w:fill="FFFFFF"/>
                <w:lang w:val="vi-VN"/>
              </w:rPr>
              <w:footnoteReference w:id="4"/>
            </w:r>
            <w:r w:rsidRPr="006561A1">
              <w:rPr>
                <w:rFonts w:cs="Times New Roman"/>
                <w:shd w:val="clear" w:color="auto" w:fill="FFFFFF"/>
                <w:lang w:val="vi-VN"/>
              </w:rPr>
              <w:t xml:space="preserve"> của các hiệp hội trọng tài quốc tế uy tín ít nhất 2 năm; hoặc có chứng nhận </w:t>
            </w:r>
            <w:r w:rsidRPr="006561A1">
              <w:rPr>
                <w:rFonts w:cs="Times New Roman"/>
                <w:shd w:val="clear" w:color="auto" w:fill="FFFFFF"/>
                <w:lang w:val="vi-VN"/>
              </w:rPr>
              <w:lastRenderedPageBreak/>
              <w:t>hoàn thành đào tạo kỹ năng trọng tài của VIAC (hoàn thành mức trung cấp</w:t>
            </w:r>
            <w:r w:rsidRPr="006561A1">
              <w:rPr>
                <w:rStyle w:val="FootnoteReference"/>
                <w:rFonts w:cs="Times New Roman"/>
                <w:shd w:val="clear" w:color="auto" w:fill="FFFFFF"/>
                <w:lang w:val="vi-VN"/>
              </w:rPr>
              <w:footnoteReference w:id="5"/>
            </w:r>
            <w:r w:rsidRPr="006561A1">
              <w:rPr>
                <w:rFonts w:cs="Times New Roman"/>
                <w:shd w:val="clear" w:color="auto" w:fill="FFFFFF"/>
                <w:lang w:val="vi-VN"/>
              </w:rPr>
              <w:t xml:space="preserve"> trở lên); hoặc</w:t>
            </w:r>
            <w:r w:rsidRPr="006561A1">
              <w:rPr>
                <w:rFonts w:cs="Times New Roman"/>
                <w:lang w:val="vi-VN"/>
              </w:rPr>
              <w:t xml:space="preserve"> </w:t>
            </w:r>
          </w:p>
          <w:p w14:paraId="011E48D9" w14:textId="77777777" w:rsidR="00E01E9C" w:rsidRPr="006561A1" w:rsidRDefault="00E01E9C" w:rsidP="006561A1">
            <w:pPr>
              <w:pStyle w:val="ListParagraph"/>
              <w:numPr>
                <w:ilvl w:val="2"/>
                <w:numId w:val="8"/>
              </w:numPr>
              <w:autoSpaceDE w:val="0"/>
              <w:autoSpaceDN w:val="0"/>
              <w:spacing w:after="120" w:line="276" w:lineRule="auto"/>
              <w:ind w:left="1620"/>
              <w:contextualSpacing w:val="0"/>
              <w:jc w:val="both"/>
              <w:rPr>
                <w:rFonts w:cs="Times New Roman"/>
                <w:shd w:val="clear" w:color="auto" w:fill="FFFFFF"/>
                <w:lang w:val="vi-VN"/>
              </w:rPr>
            </w:pPr>
            <w:r w:rsidRPr="006561A1">
              <w:rPr>
                <w:rFonts w:cs="Times New Roman"/>
                <w:lang w:val="vi-VN"/>
              </w:rPr>
              <w:t>Trọng tài viên có chứng chỉ hoàn thành chương trình đào tạo, nghiên cứu về trọng tài quốc tế của tổ chức giáo dục bậc đại học nước ngoài và có kinh nghiệm hành nghề 3 năm trong lĩnh vực liên quan đến vụ tranh chấp; hoặc</w:t>
            </w:r>
          </w:p>
          <w:p w14:paraId="01DD5DFD" w14:textId="77777777" w:rsidR="00E01E9C" w:rsidRPr="006561A1" w:rsidRDefault="00E01E9C" w:rsidP="006561A1">
            <w:pPr>
              <w:pStyle w:val="ListParagraph"/>
              <w:numPr>
                <w:ilvl w:val="2"/>
                <w:numId w:val="8"/>
              </w:numPr>
              <w:autoSpaceDE w:val="0"/>
              <w:autoSpaceDN w:val="0"/>
              <w:spacing w:after="120" w:line="276" w:lineRule="auto"/>
              <w:ind w:left="1620"/>
              <w:contextualSpacing w:val="0"/>
              <w:jc w:val="both"/>
              <w:rPr>
                <w:rFonts w:cs="Times New Roman"/>
                <w:shd w:val="clear" w:color="auto" w:fill="FFFFFF"/>
                <w:lang w:val="vi-VN"/>
              </w:rPr>
            </w:pPr>
            <w:r w:rsidRPr="006561A1">
              <w:rPr>
                <w:rFonts w:cs="Times New Roman"/>
                <w:shd w:val="clear" w:color="auto" w:fill="FFFFFF"/>
                <w:lang w:val="vi-VN"/>
              </w:rPr>
              <w:t>Trong vòng 3 năm trở lại đây, Trọng tài viên đã tham gia ít nhất 5 vụ tranh chấp tại VIAC và/hoặc tại một tổ chức trọng tài nước ngoài với tư cách Trọng tài viên/Chủ tịch Hội đồng trọng tài, hoặc luật sư chính</w:t>
            </w:r>
            <w:r w:rsidRPr="006561A1">
              <w:rPr>
                <w:rStyle w:val="FootnoteReference"/>
                <w:rFonts w:cs="Times New Roman"/>
                <w:shd w:val="clear" w:color="auto" w:fill="FFFFFF"/>
                <w:lang w:val="vi-VN"/>
              </w:rPr>
              <w:footnoteReference w:id="6"/>
            </w:r>
            <w:r w:rsidRPr="006561A1">
              <w:rPr>
                <w:rFonts w:cs="Times New Roman"/>
                <w:shd w:val="clear" w:color="auto" w:fill="FFFFFF"/>
                <w:lang w:val="vi-VN"/>
              </w:rPr>
              <w:t xml:space="preserve"> bảo vệ quyền và lợi ích hợp pháp của các bên; hoặc</w:t>
            </w:r>
          </w:p>
          <w:p w14:paraId="246B6C62" w14:textId="77777777" w:rsidR="00E01E9C" w:rsidRPr="006561A1" w:rsidRDefault="00E01E9C" w:rsidP="006561A1">
            <w:pPr>
              <w:pStyle w:val="ListParagraph"/>
              <w:numPr>
                <w:ilvl w:val="2"/>
                <w:numId w:val="8"/>
              </w:numPr>
              <w:autoSpaceDE w:val="0"/>
              <w:autoSpaceDN w:val="0"/>
              <w:spacing w:after="120" w:line="276" w:lineRule="auto"/>
              <w:ind w:left="1620"/>
              <w:contextualSpacing w:val="0"/>
              <w:jc w:val="both"/>
              <w:rPr>
                <w:rFonts w:cs="Times New Roman"/>
                <w:shd w:val="clear" w:color="auto" w:fill="FFFFFF"/>
                <w:lang w:val="vi-VN"/>
              </w:rPr>
            </w:pPr>
            <w:r w:rsidRPr="006561A1">
              <w:rPr>
                <w:rFonts w:cs="Times New Roman"/>
                <w:shd w:val="clear" w:color="auto" w:fill="FFFFFF"/>
                <w:lang w:val="vi-VN"/>
              </w:rPr>
              <w:t>Tất cả các bên đều đồng ý việc Trọng tài viên giải quyết Vụ tranh chấp.</w:t>
            </w:r>
          </w:p>
          <w:p w14:paraId="4829B6CA" w14:textId="77777777" w:rsidR="00E01E9C" w:rsidRPr="006561A1" w:rsidRDefault="00E01E9C" w:rsidP="006561A1">
            <w:pPr>
              <w:pStyle w:val="ListParagraph"/>
              <w:numPr>
                <w:ilvl w:val="2"/>
                <w:numId w:val="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418" w:hanging="851"/>
              <w:contextualSpacing w:val="0"/>
              <w:jc w:val="both"/>
              <w:rPr>
                <w:rFonts w:cs="Times New Roman"/>
                <w:lang w:val="vi-VN" w:eastAsia="zh-CN"/>
                <w14:ligatures w14:val="standardContextual"/>
              </w:rPr>
            </w:pPr>
            <w:r w:rsidRPr="006561A1">
              <w:rPr>
                <w:rFonts w:cs="Times New Roman"/>
                <w:lang w:val="vi-VN" w:eastAsia="zh-CN"/>
                <w14:ligatures w14:val="standardContextual"/>
              </w:rPr>
              <w:t>Trọng tài viên phải cung cấp thông tin về trình độ và kinh nghiệm chuyên môn của và thông tin về năng lực ngoại ngữ của mình một cách minh bạch</w:t>
            </w:r>
            <w:r w:rsidRPr="006561A1">
              <w:rPr>
                <w:rFonts w:cs="Times New Roman"/>
                <w:vertAlign w:val="superscript"/>
                <w:lang w:val="vi-VN"/>
              </w:rPr>
              <w:footnoteReference w:id="7"/>
            </w:r>
            <w:r w:rsidRPr="006561A1">
              <w:rPr>
                <w:rFonts w:cs="Times New Roman"/>
                <w:lang w:val="vi-VN" w:eastAsia="zh-CN"/>
                <w14:ligatures w14:val="standardContextual"/>
              </w:rPr>
              <w:t>.</w:t>
            </w:r>
          </w:p>
          <w:p w14:paraId="3C8613EF" w14:textId="414B645B" w:rsidR="00C45CCB" w:rsidRPr="006561A1" w:rsidRDefault="00E01E9C" w:rsidP="006561A1">
            <w:pPr>
              <w:pStyle w:val="ListParagraph"/>
              <w:numPr>
                <w:ilvl w:val="2"/>
                <w:numId w:val="4"/>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1418" w:hanging="851"/>
              <w:contextualSpacing w:val="0"/>
              <w:jc w:val="both"/>
              <w:rPr>
                <w:rFonts w:cs="Times New Roman"/>
                <w:lang w:val="vi-VN" w:eastAsia="zh-CN"/>
                <w14:ligatures w14:val="standardContextual"/>
              </w:rPr>
            </w:pPr>
            <w:r w:rsidRPr="006561A1">
              <w:rPr>
                <w:rFonts w:cs="Times New Roman"/>
                <w:lang w:val="vi-VN" w:eastAsia="zh-CN"/>
                <w14:ligatures w14:val="standardContextual"/>
              </w:rPr>
              <w:t xml:space="preserve">Nếu Trọng tài viên dự kiến có những hạn chế về thời gian có thể ảnh hưởng đến quá trình giải quyết tranh chấp trong vòng 8 tháng kể từ khi được lựa chọn hoặc </w:t>
            </w:r>
            <w:r w:rsidRPr="006561A1">
              <w:rPr>
                <w:rFonts w:cs="Times New Roman"/>
                <w:lang w:val="vi-VN" w:eastAsia="zh-CN"/>
                <w14:ligatures w14:val="standardContextual"/>
              </w:rPr>
              <w:lastRenderedPageBreak/>
              <w:t>chỉ định, trọng tài viên phải công khai những hạn chế đó với Ban Thư ký VIAC. Tổng Thư ký VIAC có quyền khuyến nghị Trọng tài viên cân nhắc từ chối giải quyết Vụ tranh chấp dựa trên các hạn chế này.</w:t>
            </w:r>
          </w:p>
        </w:tc>
        <w:tc>
          <w:tcPr>
            <w:tcW w:w="7174" w:type="dxa"/>
          </w:tcPr>
          <w:p w14:paraId="7EB780F3" w14:textId="77777777" w:rsidR="00C45CCB" w:rsidRPr="006561A1" w:rsidRDefault="00C45CCB" w:rsidP="006561A1">
            <w:pPr>
              <w:spacing w:after="120" w:line="276" w:lineRule="auto"/>
              <w:jc w:val="center"/>
              <w:rPr>
                <w:lang w:val="vi-VN"/>
              </w:rPr>
            </w:pPr>
          </w:p>
        </w:tc>
      </w:tr>
      <w:tr w:rsidR="00D01FBA" w:rsidRPr="006561A1" w14:paraId="79A8E236" w14:textId="77777777" w:rsidTr="00D243F3">
        <w:tc>
          <w:tcPr>
            <w:tcW w:w="6996" w:type="dxa"/>
          </w:tcPr>
          <w:p w14:paraId="2FDEDC3E" w14:textId="6816C49E" w:rsidR="00D01FBA" w:rsidRPr="006561A1" w:rsidRDefault="00D42F38" w:rsidP="006561A1">
            <w:pPr>
              <w:pStyle w:val="ListParagraph"/>
              <w:numPr>
                <w:ilvl w:val="0"/>
                <w:numId w:val="4"/>
              </w:numPr>
              <w:autoSpaceDE w:val="0"/>
              <w:autoSpaceDN w:val="0"/>
              <w:spacing w:after="120" w:line="276" w:lineRule="auto"/>
              <w:ind w:left="567" w:hanging="567"/>
              <w:contextualSpacing w:val="0"/>
              <w:jc w:val="both"/>
              <w:rPr>
                <w:rFonts w:eastAsia="Calibri" w:cs="Times New Roman"/>
                <w:b/>
                <w:bCs/>
                <w:iCs/>
                <w:lang w:val="vi-VN"/>
              </w:rPr>
            </w:pPr>
            <w:r w:rsidRPr="006561A1">
              <w:rPr>
                <w:rFonts w:eastAsia="Calibri" w:cs="Times New Roman"/>
                <w:b/>
                <w:bCs/>
                <w:iCs/>
                <w:lang w:val="vi-VN"/>
              </w:rPr>
              <w:lastRenderedPageBreak/>
              <w:t>Bảo mật</w:t>
            </w:r>
          </w:p>
        </w:tc>
        <w:tc>
          <w:tcPr>
            <w:tcW w:w="7174" w:type="dxa"/>
          </w:tcPr>
          <w:p w14:paraId="13B3F41E" w14:textId="77777777" w:rsidR="00D01FBA" w:rsidRPr="006561A1" w:rsidRDefault="00D01FBA" w:rsidP="006561A1">
            <w:pPr>
              <w:spacing w:after="120" w:line="276" w:lineRule="auto"/>
              <w:jc w:val="center"/>
              <w:rPr>
                <w:lang w:val="vi-VN"/>
              </w:rPr>
            </w:pPr>
          </w:p>
        </w:tc>
      </w:tr>
      <w:tr w:rsidR="00E01E9C" w:rsidRPr="006561A1" w14:paraId="1A111B59" w14:textId="77777777" w:rsidTr="00D243F3">
        <w:tc>
          <w:tcPr>
            <w:tcW w:w="6996" w:type="dxa"/>
          </w:tcPr>
          <w:p w14:paraId="55A56702" w14:textId="35B34B2E" w:rsidR="00E01E9C" w:rsidRPr="006561A1" w:rsidRDefault="00652285"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lang w:val="vi-VN"/>
              </w:rPr>
            </w:pPr>
            <w:r w:rsidRPr="006561A1">
              <w:rPr>
                <w:rFonts w:cs="Times New Roman"/>
                <w:lang w:val="vi-VN"/>
              </w:rPr>
              <w:t xml:space="preserve">Trừ khi các bên có thỏa thuận khác, Trọng tài viên có nghĩa vụ liên tục giữ bí mật tất cả các vấn đề liên quan đến vụ tranh chấp, bao gồm thông tin của các bên và sự tồn tại của quá trình trọng tài; các cuộc thảo luận nội bộ của hội đồng trọng tài; các văn bản, tài liệu, chứng cứ được các bên đệ trình; các trao đổi trong quá trình tố tụng trọng tài, cũng như mọi dự thảo, mọi quyết định và phán quyết trọng tài. </w:t>
            </w:r>
          </w:p>
        </w:tc>
        <w:tc>
          <w:tcPr>
            <w:tcW w:w="7174" w:type="dxa"/>
          </w:tcPr>
          <w:p w14:paraId="456DA2F3" w14:textId="77777777" w:rsidR="00E01E9C" w:rsidRPr="006561A1" w:rsidRDefault="00E01E9C" w:rsidP="006561A1">
            <w:pPr>
              <w:spacing w:after="120" w:line="276" w:lineRule="auto"/>
              <w:jc w:val="center"/>
              <w:rPr>
                <w:lang w:val="vi-VN"/>
              </w:rPr>
            </w:pPr>
          </w:p>
        </w:tc>
      </w:tr>
      <w:tr w:rsidR="00D42F38" w:rsidRPr="006561A1" w14:paraId="3E359BBA" w14:textId="77777777" w:rsidTr="00D243F3">
        <w:tc>
          <w:tcPr>
            <w:tcW w:w="6996" w:type="dxa"/>
          </w:tcPr>
          <w:p w14:paraId="4A0972D3" w14:textId="47A6AAC6" w:rsidR="00D42F38" w:rsidRPr="006561A1" w:rsidRDefault="004E2613" w:rsidP="006561A1">
            <w:pPr>
              <w:pStyle w:val="ListParagraph"/>
              <w:numPr>
                <w:ilvl w:val="1"/>
                <w:numId w:val="4"/>
              </w:numPr>
              <w:autoSpaceDE w:val="0"/>
              <w:autoSpaceDN w:val="0"/>
              <w:spacing w:after="120" w:line="276" w:lineRule="auto"/>
              <w:ind w:left="567" w:hanging="567"/>
              <w:contextualSpacing w:val="0"/>
              <w:jc w:val="both"/>
              <w:rPr>
                <w:rFonts w:eastAsia="Calibri" w:cs="Times New Roman"/>
                <w:iCs/>
                <w:lang w:val="vi-VN"/>
              </w:rPr>
            </w:pPr>
            <w:r w:rsidRPr="006561A1">
              <w:rPr>
                <w:rFonts w:eastAsia="Calibri" w:cs="Times New Roman"/>
                <w:iCs/>
                <w:lang w:val="vi-VN"/>
              </w:rPr>
              <w:t>Các quy định tại điều khoản này không được áp dụng trong trường hợp Trọng tài viên bắt buộc phải công khai các thông tin liên quan đến vụ tranh chấp theo quy định của pháp luật về trọng tài.</w:t>
            </w:r>
          </w:p>
        </w:tc>
        <w:tc>
          <w:tcPr>
            <w:tcW w:w="7174" w:type="dxa"/>
          </w:tcPr>
          <w:p w14:paraId="6786ECC1" w14:textId="77777777" w:rsidR="00D42F38" w:rsidRPr="006561A1" w:rsidRDefault="00D42F38" w:rsidP="006561A1">
            <w:pPr>
              <w:spacing w:after="120" w:line="276" w:lineRule="auto"/>
              <w:jc w:val="center"/>
              <w:rPr>
                <w:lang w:val="vi-VN"/>
              </w:rPr>
            </w:pPr>
          </w:p>
        </w:tc>
      </w:tr>
      <w:tr w:rsidR="00D42F38" w:rsidRPr="006561A1" w14:paraId="3DD72C90" w14:textId="77777777" w:rsidTr="00D243F3">
        <w:tc>
          <w:tcPr>
            <w:tcW w:w="6996" w:type="dxa"/>
          </w:tcPr>
          <w:p w14:paraId="7445C774" w14:textId="16A1743C" w:rsidR="00D42F38" w:rsidRPr="006561A1" w:rsidRDefault="006120AE" w:rsidP="006561A1">
            <w:pPr>
              <w:pStyle w:val="ListParagraph"/>
              <w:numPr>
                <w:ilvl w:val="0"/>
                <w:numId w:val="4"/>
              </w:numPr>
              <w:autoSpaceDE w:val="0"/>
              <w:autoSpaceDN w:val="0"/>
              <w:spacing w:after="120" w:line="276" w:lineRule="auto"/>
              <w:ind w:left="567" w:hanging="567"/>
              <w:contextualSpacing w:val="0"/>
              <w:jc w:val="both"/>
              <w:rPr>
                <w:rFonts w:eastAsia="Calibri" w:cs="Times New Roman"/>
                <w:b/>
                <w:bCs/>
                <w:iCs/>
                <w:lang w:val="vi-VN"/>
              </w:rPr>
            </w:pPr>
            <w:r w:rsidRPr="006561A1">
              <w:rPr>
                <w:rFonts w:eastAsia="Calibri" w:cs="Times New Roman"/>
                <w:b/>
                <w:bCs/>
                <w:iCs/>
                <w:lang w:val="vi-VN"/>
              </w:rPr>
              <w:t>Thù lao Trọng tài viên</w:t>
            </w:r>
          </w:p>
        </w:tc>
        <w:tc>
          <w:tcPr>
            <w:tcW w:w="7174" w:type="dxa"/>
          </w:tcPr>
          <w:p w14:paraId="3401A301" w14:textId="77777777" w:rsidR="00D42F38" w:rsidRPr="006561A1" w:rsidRDefault="00D42F38" w:rsidP="006561A1">
            <w:pPr>
              <w:spacing w:after="120" w:line="276" w:lineRule="auto"/>
              <w:jc w:val="center"/>
              <w:rPr>
                <w:lang w:val="vi-VN"/>
              </w:rPr>
            </w:pPr>
          </w:p>
        </w:tc>
      </w:tr>
      <w:tr w:rsidR="00D42F38" w:rsidRPr="00D243F3" w14:paraId="6D8534B8" w14:textId="77777777" w:rsidTr="00D243F3">
        <w:tc>
          <w:tcPr>
            <w:tcW w:w="6996" w:type="dxa"/>
          </w:tcPr>
          <w:p w14:paraId="369A7B97" w14:textId="02DD4B64" w:rsidR="00D42F38" w:rsidRPr="006561A1" w:rsidRDefault="002B01CB" w:rsidP="006561A1">
            <w:pPr>
              <w:pStyle w:val="ListParagraph"/>
              <w:numPr>
                <w:ilvl w:val="1"/>
                <w:numId w:val="4"/>
              </w:numPr>
              <w:tabs>
                <w:tab w:val="right" w:pos="567"/>
                <w:tab w:val="left" w:pos="66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eastAsia="Calibri" w:cs="Times New Roman"/>
                <w:lang w:val="vi-VN"/>
              </w:rPr>
              <w:t xml:space="preserve">Khi chấp nhận làm Trọng tài viên, Trọng tài viên đồng ý với quy định trả thù lao Trọng tài viên của VIAC. Trọng tài viên không được phép thỏa thuận với bất kỳ bên nào hoặc luật </w:t>
            </w:r>
            <w:r w:rsidRPr="006561A1">
              <w:rPr>
                <w:rFonts w:cs="Times New Roman"/>
                <w:lang w:val="vi-VN"/>
              </w:rPr>
              <w:t xml:space="preserve"> </w:t>
            </w:r>
            <w:r w:rsidRPr="006561A1">
              <w:rPr>
                <w:rFonts w:eastAsia="Calibri" w:cs="Times New Roman"/>
                <w:lang w:val="vi-VN"/>
              </w:rPr>
              <w:t>sư của bất kỳ bên nào về thù lao và chi phí bổ sung.</w:t>
            </w:r>
            <w:r w:rsidRPr="006561A1">
              <w:rPr>
                <w:rFonts w:cs="Times New Roman"/>
                <w:lang w:val="vi-VN" w:eastAsia="zh-CN"/>
                <w14:ligatures w14:val="standardContextual"/>
              </w:rPr>
              <w:t xml:space="preserve"> </w:t>
            </w:r>
          </w:p>
        </w:tc>
        <w:tc>
          <w:tcPr>
            <w:tcW w:w="7174" w:type="dxa"/>
          </w:tcPr>
          <w:p w14:paraId="5F843229" w14:textId="77777777" w:rsidR="00D42F38" w:rsidRPr="006561A1" w:rsidRDefault="00D42F38" w:rsidP="006561A1">
            <w:pPr>
              <w:spacing w:after="120" w:line="276" w:lineRule="auto"/>
              <w:jc w:val="center"/>
              <w:rPr>
                <w:lang w:val="vi-VN"/>
              </w:rPr>
            </w:pPr>
          </w:p>
        </w:tc>
      </w:tr>
      <w:tr w:rsidR="00D42F38" w:rsidRPr="00D243F3" w14:paraId="13A88EDC" w14:textId="77777777" w:rsidTr="00D243F3">
        <w:tc>
          <w:tcPr>
            <w:tcW w:w="6996" w:type="dxa"/>
          </w:tcPr>
          <w:p w14:paraId="0E063F1C" w14:textId="4F51BFC8" w:rsidR="00D42F38" w:rsidRPr="006561A1" w:rsidRDefault="006B1D47" w:rsidP="006561A1">
            <w:pPr>
              <w:pStyle w:val="ListParagraph"/>
              <w:numPr>
                <w:ilvl w:val="1"/>
                <w:numId w:val="4"/>
              </w:numPr>
              <w:tabs>
                <w:tab w:val="right" w:pos="567"/>
                <w:tab w:val="left" w:pos="66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cs="Times New Roman"/>
                <w:lang w:val="vi-VN" w:eastAsia="zh-CN"/>
                <w14:ligatures w14:val="standardContextual"/>
              </w:rPr>
              <w:t>Trọng tài viên phải từ chối giải quyết tranh chấp nếu không đồng ý với quy định về trả thù lao Trọng tài viên tại VIAC.</w:t>
            </w:r>
          </w:p>
        </w:tc>
        <w:tc>
          <w:tcPr>
            <w:tcW w:w="7174" w:type="dxa"/>
          </w:tcPr>
          <w:p w14:paraId="20AFCF18" w14:textId="77777777" w:rsidR="00D42F38" w:rsidRPr="006561A1" w:rsidRDefault="00D42F38" w:rsidP="006561A1">
            <w:pPr>
              <w:spacing w:after="120" w:line="276" w:lineRule="auto"/>
              <w:jc w:val="center"/>
              <w:rPr>
                <w:lang w:val="vi-VN"/>
              </w:rPr>
            </w:pPr>
          </w:p>
        </w:tc>
      </w:tr>
      <w:tr w:rsidR="006B1D47" w:rsidRPr="00D243F3" w14:paraId="1CFA14BC" w14:textId="77777777" w:rsidTr="00D243F3">
        <w:tc>
          <w:tcPr>
            <w:tcW w:w="6996" w:type="dxa"/>
          </w:tcPr>
          <w:p w14:paraId="73468F6E" w14:textId="5A92A055" w:rsidR="006B1D47" w:rsidRPr="006561A1" w:rsidRDefault="006561A1" w:rsidP="006561A1">
            <w:pPr>
              <w:pStyle w:val="ListParagraph"/>
              <w:numPr>
                <w:ilvl w:val="1"/>
                <w:numId w:val="4"/>
              </w:numPr>
              <w:tabs>
                <w:tab w:val="right" w:pos="567"/>
                <w:tab w:val="left" w:pos="660"/>
              </w:tabs>
              <w:autoSpaceDE w:val="0"/>
              <w:autoSpaceDN w:val="0"/>
              <w:adjustRightInd w:val="0"/>
              <w:spacing w:after="120" w:line="276" w:lineRule="auto"/>
              <w:ind w:left="567" w:hanging="539"/>
              <w:contextualSpacing w:val="0"/>
              <w:jc w:val="both"/>
              <w:rPr>
                <w:rFonts w:cs="Times New Roman"/>
                <w:lang w:val="vi-VN" w:eastAsia="zh-CN"/>
                <w14:ligatures w14:val="standardContextual"/>
              </w:rPr>
            </w:pPr>
            <w:r w:rsidRPr="006561A1">
              <w:rPr>
                <w:rFonts w:cs="Times New Roman"/>
                <w:lang w:val="vi-VN" w:eastAsia="zh-CN"/>
                <w14:ligatures w14:val="standardContextual"/>
              </w:rPr>
              <w:lastRenderedPageBreak/>
              <w:t>Bất kỳ sự vi phạm nào của quy tắc này mà gây ảnh hưởng đến tính công bằng, nhanh chóng và hiệu quả của quá trình giải quyết tranh chấp có thể ảnh hưởng đến mức thù lao Trọng tài viên do VIAC quyết định./.</w:t>
            </w:r>
          </w:p>
        </w:tc>
        <w:tc>
          <w:tcPr>
            <w:tcW w:w="7174" w:type="dxa"/>
          </w:tcPr>
          <w:p w14:paraId="74F959E1" w14:textId="77777777" w:rsidR="006B1D47" w:rsidRPr="006561A1" w:rsidRDefault="006B1D47" w:rsidP="006561A1">
            <w:pPr>
              <w:spacing w:after="120" w:line="276" w:lineRule="auto"/>
              <w:jc w:val="center"/>
              <w:rPr>
                <w:lang w:val="vi-VN"/>
              </w:rPr>
            </w:pPr>
          </w:p>
        </w:tc>
      </w:tr>
    </w:tbl>
    <w:p w14:paraId="03F55B80" w14:textId="77777777" w:rsidR="009B23F1" w:rsidRPr="006561A1" w:rsidRDefault="009B23F1" w:rsidP="006561A1">
      <w:pPr>
        <w:spacing w:after="120" w:line="276" w:lineRule="auto"/>
        <w:jc w:val="both"/>
        <w:rPr>
          <w:lang w:val="vi-VN"/>
        </w:rPr>
      </w:pPr>
    </w:p>
    <w:p w14:paraId="2993AE3B" w14:textId="6089C137" w:rsidR="00207336" w:rsidRPr="006561A1" w:rsidRDefault="006561A1" w:rsidP="006561A1">
      <w:pPr>
        <w:spacing w:after="120" w:line="276" w:lineRule="auto"/>
        <w:jc w:val="both"/>
        <w:rPr>
          <w:b/>
          <w:bCs/>
          <w:lang w:val="vi-VN"/>
        </w:rPr>
      </w:pPr>
      <w:r w:rsidRPr="006561A1">
        <w:rPr>
          <w:b/>
          <w:bCs/>
          <w:lang w:val="vi-VN"/>
        </w:rPr>
        <w:t>Ý kiến khác</w:t>
      </w:r>
    </w:p>
    <w:tbl>
      <w:tblPr>
        <w:tblStyle w:val="TableGrid"/>
        <w:tblW w:w="14170" w:type="dxa"/>
        <w:tblLook w:val="04A0" w:firstRow="1" w:lastRow="0" w:firstColumn="1" w:lastColumn="0" w:noHBand="0" w:noVBand="1"/>
      </w:tblPr>
      <w:tblGrid>
        <w:gridCol w:w="14170"/>
      </w:tblGrid>
      <w:tr w:rsidR="006561A1" w:rsidRPr="006561A1" w14:paraId="2D46F3B4" w14:textId="77777777" w:rsidTr="00D243F3">
        <w:tc>
          <w:tcPr>
            <w:tcW w:w="14170" w:type="dxa"/>
          </w:tcPr>
          <w:p w14:paraId="3568201B" w14:textId="77777777" w:rsidR="006561A1" w:rsidRPr="006561A1" w:rsidRDefault="006561A1" w:rsidP="006561A1">
            <w:pPr>
              <w:spacing w:after="120" w:line="276" w:lineRule="auto"/>
              <w:jc w:val="both"/>
              <w:rPr>
                <w:lang w:val="vi-VN"/>
              </w:rPr>
            </w:pPr>
          </w:p>
          <w:p w14:paraId="218B18C3" w14:textId="77777777" w:rsidR="006561A1" w:rsidRPr="006561A1" w:rsidRDefault="006561A1" w:rsidP="006561A1">
            <w:pPr>
              <w:spacing w:after="120" w:line="276" w:lineRule="auto"/>
              <w:jc w:val="both"/>
              <w:rPr>
                <w:lang w:val="vi-VN"/>
              </w:rPr>
            </w:pPr>
          </w:p>
          <w:p w14:paraId="242F27BC" w14:textId="77777777" w:rsidR="006561A1" w:rsidRPr="006561A1" w:rsidRDefault="006561A1" w:rsidP="006561A1">
            <w:pPr>
              <w:spacing w:after="120" w:line="276" w:lineRule="auto"/>
              <w:jc w:val="both"/>
              <w:rPr>
                <w:lang w:val="vi-VN"/>
              </w:rPr>
            </w:pPr>
          </w:p>
          <w:p w14:paraId="2D583DC8" w14:textId="77777777" w:rsidR="006561A1" w:rsidRPr="006561A1" w:rsidRDefault="006561A1" w:rsidP="006561A1">
            <w:pPr>
              <w:spacing w:after="120" w:line="276" w:lineRule="auto"/>
              <w:jc w:val="both"/>
              <w:rPr>
                <w:lang w:val="vi-VN"/>
              </w:rPr>
            </w:pPr>
          </w:p>
        </w:tc>
      </w:tr>
    </w:tbl>
    <w:p w14:paraId="14663120" w14:textId="77777777" w:rsidR="006561A1" w:rsidRPr="006561A1" w:rsidRDefault="006561A1" w:rsidP="006561A1">
      <w:pPr>
        <w:spacing w:after="120" w:line="276" w:lineRule="auto"/>
        <w:jc w:val="both"/>
        <w:rPr>
          <w:lang w:val="vi-VN"/>
        </w:rPr>
      </w:pPr>
    </w:p>
    <w:sectPr w:rsidR="006561A1" w:rsidRPr="006561A1" w:rsidSect="00D243F3">
      <w:headerReference w:type="default" r:id="rId7"/>
      <w:footerReference w:type="default" r:id="rId8"/>
      <w:pgSz w:w="16838" w:h="11906" w:orient="landscape" w:code="9"/>
      <w:pgMar w:top="1440" w:right="1387" w:bottom="1134" w:left="1276" w:header="284"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E2BC" w14:textId="77777777" w:rsidR="004459FC" w:rsidRDefault="004459FC" w:rsidP="00E50EC8">
      <w:pPr>
        <w:spacing w:after="0" w:line="240" w:lineRule="auto"/>
      </w:pPr>
      <w:r>
        <w:separator/>
      </w:r>
    </w:p>
  </w:endnote>
  <w:endnote w:type="continuationSeparator" w:id="0">
    <w:p w14:paraId="08984AD4" w14:textId="77777777" w:rsidR="004459FC" w:rsidRDefault="004459FC" w:rsidP="00E5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81378634"/>
      <w:docPartObj>
        <w:docPartGallery w:val="Page Numbers (Bottom of Page)"/>
        <w:docPartUnique/>
      </w:docPartObj>
    </w:sdtPr>
    <w:sdtEndPr>
      <w:rPr>
        <w:noProof/>
      </w:rPr>
    </w:sdtEndPr>
    <w:sdtContent>
      <w:p w14:paraId="210B867D" w14:textId="4BE990F9" w:rsidR="008B2BAC" w:rsidRPr="006561A1" w:rsidRDefault="008B2BAC" w:rsidP="008B2BAC">
        <w:pPr>
          <w:pStyle w:val="Footer"/>
          <w:jc w:val="center"/>
          <w:rPr>
            <w:sz w:val="20"/>
            <w:szCs w:val="20"/>
          </w:rPr>
        </w:pPr>
        <w:r w:rsidRPr="006561A1">
          <w:rPr>
            <w:sz w:val="20"/>
            <w:szCs w:val="20"/>
          </w:rPr>
          <w:fldChar w:fldCharType="begin"/>
        </w:r>
        <w:r w:rsidRPr="006561A1">
          <w:rPr>
            <w:sz w:val="20"/>
            <w:szCs w:val="20"/>
          </w:rPr>
          <w:instrText xml:space="preserve"> PAGE   \* MERGEFORMAT </w:instrText>
        </w:r>
        <w:r w:rsidRPr="006561A1">
          <w:rPr>
            <w:sz w:val="20"/>
            <w:szCs w:val="20"/>
          </w:rPr>
          <w:fldChar w:fldCharType="separate"/>
        </w:r>
        <w:r w:rsidRPr="006561A1">
          <w:rPr>
            <w:noProof/>
            <w:sz w:val="20"/>
            <w:szCs w:val="20"/>
          </w:rPr>
          <w:t>2</w:t>
        </w:r>
        <w:r w:rsidRPr="006561A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A8E0" w14:textId="77777777" w:rsidR="004459FC" w:rsidRDefault="004459FC" w:rsidP="00E50EC8">
      <w:pPr>
        <w:spacing w:after="0" w:line="240" w:lineRule="auto"/>
      </w:pPr>
      <w:r>
        <w:separator/>
      </w:r>
    </w:p>
  </w:footnote>
  <w:footnote w:type="continuationSeparator" w:id="0">
    <w:p w14:paraId="0FE6CE6F" w14:textId="77777777" w:rsidR="004459FC" w:rsidRDefault="004459FC" w:rsidP="00E50EC8">
      <w:pPr>
        <w:spacing w:after="0" w:line="240" w:lineRule="auto"/>
      </w:pPr>
      <w:r>
        <w:continuationSeparator/>
      </w:r>
    </w:p>
  </w:footnote>
  <w:footnote w:id="1">
    <w:p w14:paraId="18BB799B" w14:textId="77777777" w:rsidR="008F1FC3" w:rsidRPr="008F293F" w:rsidRDefault="008F1FC3" w:rsidP="008F1FC3">
      <w:pPr>
        <w:pStyle w:val="FootnoteText"/>
        <w:jc w:val="both"/>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Nếu </w:t>
      </w:r>
      <w:proofErr w:type="spellStart"/>
      <w:r w:rsidRPr="008F293F">
        <w:rPr>
          <w:rFonts w:ascii="Times New Roman" w:hAnsi="Times New Roman" w:cs="Times New Roman"/>
        </w:rPr>
        <w:t>việc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đồng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thuận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thay</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đổi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xảy</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ra</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sau</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thời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điểm</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thành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lập</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Hội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đồng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Chủ</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tịch</w:t>
      </w:r>
      <w:proofErr w:type="spellEnd"/>
      <w:r w:rsidRPr="008F293F">
        <w:rPr>
          <w:rFonts w:ascii="Times New Roman" w:hAnsi="Times New Roman" w:cs="Times New Roman"/>
        </w:rPr>
        <w:t xml:space="preserve"> VIAC có </w:t>
      </w:r>
      <w:proofErr w:type="spellStart"/>
      <w:r w:rsidRPr="008F293F">
        <w:rPr>
          <w:rFonts w:ascii="Times New Roman" w:hAnsi="Times New Roman" w:cs="Times New Roman"/>
        </w:rPr>
        <w:t>thể</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ấn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định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các</w:t>
      </w:r>
      <w:proofErr w:type="spellEnd"/>
      <w:r w:rsidRPr="008F293F">
        <w:rPr>
          <w:rFonts w:ascii="Times New Roman" w:hAnsi="Times New Roman" w:cs="Times New Roman"/>
        </w:rPr>
        <w:t xml:space="preserve"> chi </w:t>
      </w:r>
      <w:proofErr w:type="spellStart"/>
      <w:r w:rsidRPr="008F293F">
        <w:rPr>
          <w:rFonts w:ascii="Times New Roman" w:hAnsi="Times New Roman" w:cs="Times New Roman"/>
        </w:rPr>
        <w:t>phí</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các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bên</w:t>
      </w:r>
      <w:proofErr w:type="spellEnd"/>
      <w:r w:rsidRPr="008F293F">
        <w:rPr>
          <w:rFonts w:ascii="Times New Roman" w:hAnsi="Times New Roman" w:cs="Times New Roman"/>
        </w:rPr>
        <w:t xml:space="preserve"> phải </w:t>
      </w:r>
      <w:proofErr w:type="spellStart"/>
      <w:r w:rsidRPr="008F293F">
        <w:rPr>
          <w:rFonts w:ascii="Times New Roman" w:hAnsi="Times New Roman" w:cs="Times New Roman"/>
        </w:rPr>
        <w:t>chịu</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để</w:t>
      </w:r>
      <w:proofErr w:type="spellEnd"/>
      <w:r w:rsidRPr="008F293F">
        <w:rPr>
          <w:rFonts w:ascii="Times New Roman" w:hAnsi="Times New Roman" w:cs="Times New Roman"/>
        </w:rPr>
        <w:t xml:space="preserve"> chi </w:t>
      </w:r>
      <w:proofErr w:type="spellStart"/>
      <w:r w:rsidRPr="008F293F">
        <w:rPr>
          <w:rFonts w:ascii="Times New Roman" w:hAnsi="Times New Roman" w:cs="Times New Roman"/>
        </w:rPr>
        <w:t>trả</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thù</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lao</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cho</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bị </w:t>
      </w:r>
      <w:proofErr w:type="spellStart"/>
      <w:r w:rsidRPr="008F293F">
        <w:rPr>
          <w:rFonts w:ascii="Times New Roman" w:hAnsi="Times New Roman" w:cs="Times New Roman"/>
        </w:rPr>
        <w:t>thay</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đổi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đối</w:t>
      </w:r>
      <w:proofErr w:type="spellEnd"/>
      <w:r w:rsidRPr="008F293F">
        <w:rPr>
          <w:rFonts w:ascii="Times New Roman" w:hAnsi="Times New Roman" w:cs="Times New Roman"/>
        </w:rPr>
        <w:t xml:space="preserve"> với </w:t>
      </w:r>
      <w:proofErr w:type="spellStart"/>
      <w:r w:rsidRPr="008F293F">
        <w:rPr>
          <w:rFonts w:ascii="Times New Roman" w:hAnsi="Times New Roman" w:cs="Times New Roman"/>
        </w:rPr>
        <w:t>các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công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việc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đó</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đã</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thực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hiện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theo</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quy</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định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tại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Điều</w:t>
      </w:r>
      <w:proofErr w:type="spellEnd"/>
      <w:r w:rsidRPr="008F293F">
        <w:rPr>
          <w:rFonts w:ascii="Times New Roman" w:hAnsi="Times New Roman" w:cs="Times New Roman"/>
        </w:rPr>
        <w:t xml:space="preserve"> 17 </w:t>
      </w:r>
      <w:proofErr w:type="spellStart"/>
      <w:r w:rsidRPr="008F293F">
        <w:rPr>
          <w:rFonts w:ascii="Times New Roman" w:hAnsi="Times New Roman" w:cs="Times New Roman"/>
        </w:rPr>
        <w:t>Khoản</w:t>
      </w:r>
      <w:proofErr w:type="spellEnd"/>
      <w:r w:rsidRPr="008F293F">
        <w:rPr>
          <w:rFonts w:ascii="Times New Roman" w:hAnsi="Times New Roman" w:cs="Times New Roman"/>
        </w:rPr>
        <w:t xml:space="preserve"> 4 Quy </w:t>
      </w:r>
      <w:proofErr w:type="spellStart"/>
      <w:r w:rsidRPr="008F293F">
        <w:rPr>
          <w:rFonts w:ascii="Times New Roman" w:hAnsi="Times New Roman" w:cs="Times New Roman"/>
        </w:rPr>
        <w:t>tắc</w:t>
      </w:r>
      <w:proofErr w:type="spellEnd"/>
      <w:r w:rsidRPr="008F293F">
        <w:rPr>
          <w:rFonts w:ascii="Times New Roman" w:hAnsi="Times New Roman" w:cs="Times New Roman"/>
        </w:rPr>
        <w:t xml:space="preserve"> VIAC.</w:t>
      </w:r>
    </w:p>
  </w:footnote>
  <w:footnote w:id="2">
    <w:p w14:paraId="4CAA5A40" w14:textId="77777777" w:rsidR="00F53B93" w:rsidRPr="008F293F" w:rsidRDefault="00F53B93" w:rsidP="00F53B93">
      <w:pPr>
        <w:pStyle w:val="FootnoteText"/>
        <w:jc w:val="both"/>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Nếu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quyết </w:t>
      </w:r>
      <w:proofErr w:type="spellStart"/>
      <w:r w:rsidRPr="008F293F">
        <w:rPr>
          <w:rFonts w:ascii="Times New Roman" w:hAnsi="Times New Roman" w:cs="Times New Roman"/>
        </w:rPr>
        <w:t>định</w:t>
      </w:r>
      <w:proofErr w:type="spellEnd"/>
      <w:r w:rsidRPr="008F293F">
        <w:rPr>
          <w:rFonts w:ascii="Times New Roman" w:hAnsi="Times New Roman" w:cs="Times New Roman"/>
        </w:rPr>
        <w:t xml:space="preserve"> từ </w:t>
      </w:r>
      <w:proofErr w:type="spellStart"/>
      <w:r w:rsidRPr="008F293F">
        <w:rPr>
          <w:rFonts w:ascii="Times New Roman" w:hAnsi="Times New Roman" w:cs="Times New Roman"/>
        </w:rPr>
        <w:t>chối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giải</w:t>
      </w:r>
      <w:proofErr w:type="spellEnd"/>
      <w:r w:rsidRPr="008F293F">
        <w:rPr>
          <w:rFonts w:ascii="Times New Roman" w:hAnsi="Times New Roman" w:cs="Times New Roman"/>
        </w:rPr>
        <w:t xml:space="preserve"> quyết </w:t>
      </w:r>
      <w:proofErr w:type="spellStart"/>
      <w:r w:rsidRPr="008F293F">
        <w:rPr>
          <w:rFonts w:ascii="Times New Roman" w:hAnsi="Times New Roman" w:cs="Times New Roman"/>
        </w:rPr>
        <w:t>tranh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chấp</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trong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trường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hợp</w:t>
      </w:r>
      <w:proofErr w:type="spellEnd"/>
      <w:r w:rsidRPr="008F293F">
        <w:rPr>
          <w:rFonts w:ascii="Times New Roman" w:hAnsi="Times New Roman" w:cs="Times New Roman"/>
        </w:rPr>
        <w:t xml:space="preserve"> này. </w:t>
      </w:r>
      <w:proofErr w:type="spellStart"/>
      <w:r w:rsidRPr="008F293F">
        <w:rPr>
          <w:rFonts w:ascii="Times New Roman" w:hAnsi="Times New Roman" w:cs="Times New Roman"/>
        </w:rPr>
        <w:t>Việc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thay</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đổi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sẽ </w:t>
      </w:r>
      <w:proofErr w:type="spellStart"/>
      <w:r w:rsidRPr="008F293F">
        <w:rPr>
          <w:rFonts w:ascii="Times New Roman" w:hAnsi="Times New Roman" w:cs="Times New Roman"/>
        </w:rPr>
        <w:t>không</w:t>
      </w:r>
      <w:proofErr w:type="spellEnd"/>
      <w:r w:rsidRPr="008F293F">
        <w:rPr>
          <w:rFonts w:ascii="Times New Roman" w:hAnsi="Times New Roman" w:cs="Times New Roman"/>
        </w:rPr>
        <w:t xml:space="preserve"> có </w:t>
      </w:r>
      <w:proofErr w:type="spellStart"/>
      <w:r w:rsidRPr="008F293F">
        <w:rPr>
          <w:rFonts w:ascii="Times New Roman" w:hAnsi="Times New Roman" w:cs="Times New Roman"/>
        </w:rPr>
        <w:t>hàm</w:t>
      </w:r>
      <w:proofErr w:type="spellEnd"/>
      <w:r w:rsidRPr="008F293F">
        <w:rPr>
          <w:rFonts w:ascii="Times New Roman" w:hAnsi="Times New Roman" w:cs="Times New Roman"/>
        </w:rPr>
        <w:t xml:space="preserve"> ý </w:t>
      </w:r>
      <w:proofErr w:type="spellStart"/>
      <w:r w:rsidRPr="008F293F">
        <w:rPr>
          <w:rFonts w:ascii="Times New Roman" w:hAnsi="Times New Roman" w:cs="Times New Roman"/>
        </w:rPr>
        <w:t>rằng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trọng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tài</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đó</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không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độc</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lập</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không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vô</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tư</w:t>
      </w:r>
      <w:proofErr w:type="spellEnd"/>
      <w:r w:rsidRPr="008F293F">
        <w:rPr>
          <w:rFonts w:ascii="Times New Roman" w:hAnsi="Times New Roman" w:cs="Times New Roman"/>
        </w:rPr>
        <w:t xml:space="preserve"> hay </w:t>
      </w:r>
      <w:proofErr w:type="spellStart"/>
      <w:r w:rsidRPr="008F293F">
        <w:rPr>
          <w:rFonts w:ascii="Times New Roman" w:hAnsi="Times New Roman" w:cs="Times New Roman"/>
        </w:rPr>
        <w:t>không</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khách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quan</w:t>
      </w:r>
      <w:proofErr w:type="spellEnd"/>
      <w:r w:rsidRPr="008F293F">
        <w:rPr>
          <w:rFonts w:ascii="Times New Roman" w:hAnsi="Times New Roman" w:cs="Times New Roman"/>
        </w:rPr>
        <w:t>.</w:t>
      </w:r>
    </w:p>
  </w:footnote>
  <w:footnote w:id="3">
    <w:p w14:paraId="1F7BA9A4" w14:textId="77777777" w:rsidR="00E01E9C" w:rsidRPr="008F293F" w:rsidRDefault="00E01E9C" w:rsidP="00E01E9C">
      <w:pPr>
        <w:pStyle w:val="FootnoteText"/>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Hay còn </w:t>
      </w:r>
      <w:proofErr w:type="spellStart"/>
      <w:r w:rsidRPr="008F293F">
        <w:rPr>
          <w:rFonts w:ascii="Times New Roman" w:hAnsi="Times New Roman" w:cs="Times New Roman"/>
        </w:rPr>
        <w:t>gọi</w:t>
      </w:r>
      <w:proofErr w:type="spellEnd"/>
      <w:r w:rsidRPr="008F293F">
        <w:rPr>
          <w:rFonts w:ascii="Times New Roman" w:hAnsi="Times New Roman" w:cs="Times New Roman"/>
        </w:rPr>
        <w:t xml:space="preserve"> là </w:t>
      </w:r>
      <w:proofErr w:type="spellStart"/>
      <w:r w:rsidRPr="008F293F">
        <w:rPr>
          <w:rFonts w:ascii="Times New Roman" w:hAnsi="Times New Roman" w:cs="Times New Roman"/>
        </w:rPr>
        <w:t>Ngôn</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ngữ</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thứ</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nhất</w:t>
      </w:r>
      <w:proofErr w:type="spellEnd"/>
      <w:r w:rsidRPr="008F293F">
        <w:rPr>
          <w:rFonts w:ascii="Times New Roman" w:hAnsi="Times New Roman" w:cs="Times New Roman"/>
        </w:rPr>
        <w:t xml:space="preserve"> – First language/Native language</w:t>
      </w:r>
    </w:p>
  </w:footnote>
  <w:footnote w:id="4">
    <w:p w14:paraId="6627B2CC" w14:textId="77777777" w:rsidR="00E01E9C" w:rsidRPr="008F293F" w:rsidRDefault="00E01E9C" w:rsidP="00E01E9C">
      <w:pPr>
        <w:pStyle w:val="FootnoteText"/>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Có </w:t>
      </w:r>
      <w:proofErr w:type="spellStart"/>
      <w:r w:rsidRPr="008F293F">
        <w:rPr>
          <w:rFonts w:ascii="Times New Roman" w:hAnsi="Times New Roman" w:cs="Times New Roman"/>
        </w:rPr>
        <w:t>tư</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cách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thành</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viên</w:t>
      </w:r>
      <w:proofErr w:type="spellEnd"/>
      <w:r w:rsidRPr="008F293F">
        <w:rPr>
          <w:rFonts w:ascii="Times New Roman" w:hAnsi="Times New Roman" w:cs="Times New Roman"/>
        </w:rPr>
        <w:t xml:space="preserve"> (member)</w:t>
      </w:r>
    </w:p>
  </w:footnote>
  <w:footnote w:id="5">
    <w:p w14:paraId="1C031B1F" w14:textId="77777777" w:rsidR="00E01E9C" w:rsidRPr="008F293F" w:rsidRDefault="00E01E9C" w:rsidP="00E01E9C">
      <w:pPr>
        <w:pStyle w:val="FootnoteText"/>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w:t>
      </w:r>
      <w:proofErr w:type="spellStart"/>
      <w:r w:rsidRPr="008F293F">
        <w:rPr>
          <w:rFonts w:ascii="Times New Roman" w:hAnsi="Times New Roman" w:cs="Times New Roman"/>
        </w:rPr>
        <w:t>Mức</w:t>
      </w:r>
      <w:proofErr w:type="spellEnd"/>
      <w:r w:rsidRPr="008F293F">
        <w:rPr>
          <w:rFonts w:ascii="Times New Roman" w:hAnsi="Times New Roman" w:cs="Times New Roman"/>
        </w:rPr>
        <w:t xml:space="preserve"> Trung cấp – Intermediate bao </w:t>
      </w:r>
      <w:proofErr w:type="spellStart"/>
      <w:r w:rsidRPr="008F293F">
        <w:rPr>
          <w:rFonts w:ascii="Times New Roman" w:hAnsi="Times New Roman" w:cs="Times New Roman"/>
        </w:rPr>
        <w:t>gồm</w:t>
      </w:r>
      <w:proofErr w:type="spellEnd"/>
      <w:r w:rsidRPr="008F293F">
        <w:rPr>
          <w:rFonts w:ascii="Times New Roman" w:hAnsi="Times New Roman" w:cs="Times New Roman"/>
        </w:rPr>
        <w:t xml:space="preserve"> Intermediate 1 </w:t>
      </w:r>
      <w:proofErr w:type="spellStart"/>
      <w:r w:rsidRPr="008F293F">
        <w:rPr>
          <w:rFonts w:ascii="Times New Roman" w:hAnsi="Times New Roman" w:cs="Times New Roman"/>
        </w:rPr>
        <w:t>và</w:t>
      </w:r>
      <w:proofErr w:type="spellEnd"/>
      <w:r w:rsidRPr="008F293F">
        <w:rPr>
          <w:rFonts w:ascii="Times New Roman" w:hAnsi="Times New Roman" w:cs="Times New Roman"/>
        </w:rPr>
        <w:t xml:space="preserve"> Intermediate 2</w:t>
      </w:r>
    </w:p>
  </w:footnote>
  <w:footnote w:id="6">
    <w:p w14:paraId="3E343407" w14:textId="77777777" w:rsidR="00E01E9C" w:rsidRPr="008F293F" w:rsidRDefault="00E01E9C" w:rsidP="00E01E9C">
      <w:pPr>
        <w:pStyle w:val="FootnoteText"/>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Lead Counsel</w:t>
      </w:r>
    </w:p>
  </w:footnote>
  <w:footnote w:id="7">
    <w:p w14:paraId="73BCBA1F" w14:textId="77777777" w:rsidR="00E01E9C" w:rsidRPr="008F293F" w:rsidRDefault="00E01E9C" w:rsidP="00E01E9C">
      <w:pPr>
        <w:pStyle w:val="FootnoteText"/>
        <w:rPr>
          <w:rFonts w:ascii="Times New Roman" w:hAnsi="Times New Roman" w:cs="Times New Roman"/>
        </w:rPr>
      </w:pPr>
      <w:r w:rsidRPr="008F293F">
        <w:rPr>
          <w:rStyle w:val="FootnoteReference"/>
          <w:rFonts w:ascii="Times New Roman" w:hAnsi="Times New Roman" w:cs="Times New Roman"/>
        </w:rPr>
        <w:footnoteRef/>
      </w:r>
      <w:r w:rsidRPr="008F293F">
        <w:rPr>
          <w:rFonts w:ascii="Times New Roman" w:hAnsi="Times New Roman" w:cs="Times New Roman"/>
        </w:rPr>
        <w:t xml:space="preserve"> Khi có </w:t>
      </w:r>
      <w:proofErr w:type="spellStart"/>
      <w:r w:rsidRPr="008F293F">
        <w:rPr>
          <w:rFonts w:ascii="Times New Roman" w:hAnsi="Times New Roman" w:cs="Times New Roman"/>
        </w:rPr>
        <w:t>yêu</w:t>
      </w:r>
      <w:proofErr w:type="spellEnd"/>
      <w:r w:rsidRPr="008F293F">
        <w:rPr>
          <w:rFonts w:ascii="Times New Roman" w:hAnsi="Times New Roman" w:cs="Times New Roman"/>
        </w:rPr>
        <w:t xml:space="preserve"> </w:t>
      </w:r>
      <w:proofErr w:type="spellStart"/>
      <w:r w:rsidRPr="008F293F">
        <w:rPr>
          <w:rFonts w:ascii="Times New Roman" w:hAnsi="Times New Roman" w:cs="Times New Roman"/>
        </w:rPr>
        <w:t>cầu</w:t>
      </w:r>
      <w:proofErr w:type="spellEnd"/>
      <w:r w:rsidRPr="008F293F">
        <w:rPr>
          <w:rFonts w:ascii="Times New Roman" w:hAnsi="Times New Roman" w:cs="Times New Roman"/>
        </w:rPr>
        <w:t xml:space="preserve"> từ Ban Thư </w:t>
      </w:r>
      <w:proofErr w:type="spellStart"/>
      <w:r w:rsidRPr="008F293F">
        <w:rPr>
          <w:rFonts w:ascii="Times New Roman" w:hAnsi="Times New Roman" w:cs="Times New Roman"/>
        </w:rPr>
        <w:t>ký</w:t>
      </w:r>
      <w:proofErr w:type="spellEnd"/>
      <w:r w:rsidRPr="008F293F">
        <w:rPr>
          <w:rFonts w:ascii="Times New Roman" w:hAnsi="Times New Roman" w:cs="Times New Roman"/>
        </w:rPr>
        <w:t xml:space="preserve"> VIAC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9703" w14:textId="73E65D85" w:rsidR="00E50EC8" w:rsidRDefault="00E50EC8" w:rsidP="00715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0B1"/>
    <w:multiLevelType w:val="multilevel"/>
    <w:tmpl w:val="8B828FB8"/>
    <w:lvl w:ilvl="0">
      <w:start w:val="1"/>
      <w:numFmt w:val="decimal"/>
      <w:lvlText w:val="%1."/>
      <w:lvlJc w:val="left"/>
      <w:pPr>
        <w:ind w:left="388" w:hanging="360"/>
      </w:pPr>
      <w:rPr>
        <w:rFonts w:hint="default"/>
      </w:rPr>
    </w:lvl>
    <w:lvl w:ilvl="1">
      <w:start w:val="1"/>
      <w:numFmt w:val="decimal"/>
      <w:isLgl/>
      <w:lvlText w:val="%1.%2"/>
      <w:lvlJc w:val="left"/>
      <w:pPr>
        <w:ind w:left="388" w:hanging="360"/>
      </w:pPr>
      <w:rPr>
        <w:rFonts w:hint="default"/>
        <w:b w:val="0"/>
        <w:bCs w:val="0"/>
        <w:i w:val="0"/>
        <w:iCs/>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1" w15:restartNumberingAfterBreak="0">
    <w:nsid w:val="11453EF5"/>
    <w:multiLevelType w:val="multilevel"/>
    <w:tmpl w:val="8B828FB8"/>
    <w:lvl w:ilvl="0">
      <w:start w:val="1"/>
      <w:numFmt w:val="decimal"/>
      <w:lvlText w:val="%1."/>
      <w:lvlJc w:val="left"/>
      <w:pPr>
        <w:ind w:left="388" w:hanging="360"/>
      </w:pPr>
      <w:rPr>
        <w:rFonts w:hint="default"/>
      </w:rPr>
    </w:lvl>
    <w:lvl w:ilvl="1">
      <w:start w:val="1"/>
      <w:numFmt w:val="decimal"/>
      <w:isLgl/>
      <w:lvlText w:val="%1.%2"/>
      <w:lvlJc w:val="left"/>
      <w:pPr>
        <w:ind w:left="388" w:hanging="360"/>
      </w:pPr>
      <w:rPr>
        <w:rFonts w:hint="default"/>
        <w:b w:val="0"/>
        <w:bCs w:val="0"/>
        <w:i w:val="0"/>
        <w:iCs/>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2" w15:restartNumberingAfterBreak="0">
    <w:nsid w:val="2B34291E"/>
    <w:multiLevelType w:val="multilevel"/>
    <w:tmpl w:val="BB6CBD7C"/>
    <w:lvl w:ilvl="0">
      <w:start w:val="5"/>
      <w:numFmt w:val="lowerLetter"/>
      <w:lvlText w:val="%1)"/>
      <w:lvlJc w:val="left"/>
      <w:pPr>
        <w:ind w:left="720" w:hanging="360"/>
      </w:pPr>
      <w:rPr>
        <w:rFonts w:ascii="Palatino Linotype" w:hAnsi="Palatino Linotype"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52B2B19"/>
    <w:multiLevelType w:val="multilevel"/>
    <w:tmpl w:val="1F78BD28"/>
    <w:lvl w:ilvl="0">
      <w:start w:val="4"/>
      <w:numFmt w:val="decimal"/>
      <w:lvlText w:val="%1"/>
      <w:lvlJc w:val="left"/>
      <w:pPr>
        <w:ind w:left="360" w:hanging="360"/>
      </w:pPr>
      <w:rPr>
        <w:rFonts w:hint="default"/>
      </w:rPr>
    </w:lvl>
    <w:lvl w:ilvl="1">
      <w:start w:val="2"/>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024" w:hanging="1800"/>
      </w:pPr>
      <w:rPr>
        <w:rFonts w:hint="default"/>
      </w:rPr>
    </w:lvl>
  </w:abstractNum>
  <w:abstractNum w:abstractNumId="4" w15:restartNumberingAfterBreak="0">
    <w:nsid w:val="6BED3DF2"/>
    <w:multiLevelType w:val="multilevel"/>
    <w:tmpl w:val="AB30FC94"/>
    <w:lvl w:ilvl="0">
      <w:start w:val="4"/>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DF934A1"/>
    <w:multiLevelType w:val="hybridMultilevel"/>
    <w:tmpl w:val="FF0651BC"/>
    <w:lvl w:ilvl="0" w:tplc="94341A2E">
      <w:start w:val="1"/>
      <w:numFmt w:val="lowerRoman"/>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6" w15:restartNumberingAfterBreak="0">
    <w:nsid w:val="756E5F82"/>
    <w:multiLevelType w:val="hybridMultilevel"/>
    <w:tmpl w:val="A07088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AB30C"/>
    <w:multiLevelType w:val="multilevel"/>
    <w:tmpl w:val="4C966DA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9519739">
    <w:abstractNumId w:val="7"/>
  </w:num>
  <w:num w:numId="2" w16cid:durableId="254486788">
    <w:abstractNumId w:val="4"/>
  </w:num>
  <w:num w:numId="3" w16cid:durableId="501504520">
    <w:abstractNumId w:val="2"/>
  </w:num>
  <w:num w:numId="4" w16cid:durableId="1782723338">
    <w:abstractNumId w:val="1"/>
  </w:num>
  <w:num w:numId="5" w16cid:durableId="1026753871">
    <w:abstractNumId w:val="0"/>
  </w:num>
  <w:num w:numId="6" w16cid:durableId="434980119">
    <w:abstractNumId w:val="3"/>
  </w:num>
  <w:num w:numId="7" w16cid:durableId="1081636624">
    <w:abstractNumId w:val="5"/>
  </w:num>
  <w:num w:numId="8" w16cid:durableId="1250428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F6"/>
    <w:rsid w:val="00002E03"/>
    <w:rsid w:val="000A735A"/>
    <w:rsid w:val="001939DA"/>
    <w:rsid w:val="001B57A3"/>
    <w:rsid w:val="001F20DB"/>
    <w:rsid w:val="00207336"/>
    <w:rsid w:val="0020788C"/>
    <w:rsid w:val="00214C94"/>
    <w:rsid w:val="0028212D"/>
    <w:rsid w:val="002B01CB"/>
    <w:rsid w:val="00315BFC"/>
    <w:rsid w:val="00315E35"/>
    <w:rsid w:val="0036341B"/>
    <w:rsid w:val="00372221"/>
    <w:rsid w:val="003D3201"/>
    <w:rsid w:val="0042799E"/>
    <w:rsid w:val="004459FC"/>
    <w:rsid w:val="004E2613"/>
    <w:rsid w:val="00525C64"/>
    <w:rsid w:val="005528B0"/>
    <w:rsid w:val="005D4385"/>
    <w:rsid w:val="006120AE"/>
    <w:rsid w:val="00652285"/>
    <w:rsid w:val="006561A1"/>
    <w:rsid w:val="006720A8"/>
    <w:rsid w:val="006B1D47"/>
    <w:rsid w:val="007154E2"/>
    <w:rsid w:val="00724630"/>
    <w:rsid w:val="007D749C"/>
    <w:rsid w:val="00877395"/>
    <w:rsid w:val="008B2BAC"/>
    <w:rsid w:val="008C01DF"/>
    <w:rsid w:val="008F1FC3"/>
    <w:rsid w:val="009942CB"/>
    <w:rsid w:val="009B23F1"/>
    <w:rsid w:val="009C347F"/>
    <w:rsid w:val="00A12C15"/>
    <w:rsid w:val="00A31419"/>
    <w:rsid w:val="00B26234"/>
    <w:rsid w:val="00BF242E"/>
    <w:rsid w:val="00C31712"/>
    <w:rsid w:val="00C42A11"/>
    <w:rsid w:val="00C45CCB"/>
    <w:rsid w:val="00CA56E8"/>
    <w:rsid w:val="00D01FBA"/>
    <w:rsid w:val="00D243F3"/>
    <w:rsid w:val="00D42F38"/>
    <w:rsid w:val="00D77BDB"/>
    <w:rsid w:val="00DA083E"/>
    <w:rsid w:val="00DB3AD0"/>
    <w:rsid w:val="00E01E9C"/>
    <w:rsid w:val="00E50EC8"/>
    <w:rsid w:val="00EA0ECD"/>
    <w:rsid w:val="00EB4026"/>
    <w:rsid w:val="00F04136"/>
    <w:rsid w:val="00F2602F"/>
    <w:rsid w:val="00F37B7A"/>
    <w:rsid w:val="00F53B93"/>
    <w:rsid w:val="00F77B4A"/>
    <w:rsid w:val="00FE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870B9"/>
  <w15:chartTrackingRefBased/>
  <w15:docId w15:val="{BE4A325F-F735-4849-97BF-2409FBC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F6"/>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FE5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BF6"/>
    <w:rPr>
      <w:rFonts w:eastAsiaTheme="majorEastAsia" w:cstheme="majorBidi"/>
      <w:color w:val="272727" w:themeColor="text1" w:themeTint="D8"/>
    </w:rPr>
  </w:style>
  <w:style w:type="paragraph" w:styleId="Title">
    <w:name w:val="Title"/>
    <w:basedOn w:val="Normal"/>
    <w:next w:val="Normal"/>
    <w:link w:val="TitleChar"/>
    <w:uiPriority w:val="10"/>
    <w:qFormat/>
    <w:rsid w:val="00FE5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BF6"/>
    <w:pPr>
      <w:spacing w:before="160"/>
      <w:jc w:val="center"/>
    </w:pPr>
    <w:rPr>
      <w:i/>
      <w:iCs/>
      <w:color w:val="404040" w:themeColor="text1" w:themeTint="BF"/>
    </w:rPr>
  </w:style>
  <w:style w:type="character" w:customStyle="1" w:styleId="QuoteChar">
    <w:name w:val="Quote Char"/>
    <w:basedOn w:val="DefaultParagraphFont"/>
    <w:link w:val="Quote"/>
    <w:uiPriority w:val="29"/>
    <w:rsid w:val="00FE5BF6"/>
    <w:rPr>
      <w:i/>
      <w:iCs/>
      <w:color w:val="404040" w:themeColor="text1" w:themeTint="BF"/>
    </w:rPr>
  </w:style>
  <w:style w:type="paragraph" w:styleId="ListParagraph">
    <w:name w:val="List Paragraph"/>
    <w:basedOn w:val="Normal"/>
    <w:uiPriority w:val="34"/>
    <w:qFormat/>
    <w:rsid w:val="00FE5BF6"/>
    <w:pPr>
      <w:ind w:left="720"/>
      <w:contextualSpacing/>
    </w:pPr>
  </w:style>
  <w:style w:type="character" w:styleId="IntenseEmphasis">
    <w:name w:val="Intense Emphasis"/>
    <w:basedOn w:val="DefaultParagraphFont"/>
    <w:uiPriority w:val="21"/>
    <w:qFormat/>
    <w:rsid w:val="00FE5BF6"/>
    <w:rPr>
      <w:i/>
      <w:iCs/>
      <w:color w:val="0F4761" w:themeColor="accent1" w:themeShade="BF"/>
    </w:rPr>
  </w:style>
  <w:style w:type="paragraph" w:styleId="IntenseQuote">
    <w:name w:val="Intense Quote"/>
    <w:basedOn w:val="Normal"/>
    <w:next w:val="Normal"/>
    <w:link w:val="IntenseQuoteChar"/>
    <w:uiPriority w:val="30"/>
    <w:qFormat/>
    <w:rsid w:val="00FE5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BF6"/>
    <w:rPr>
      <w:i/>
      <w:iCs/>
      <w:color w:val="0F4761" w:themeColor="accent1" w:themeShade="BF"/>
    </w:rPr>
  </w:style>
  <w:style w:type="character" w:styleId="IntenseReference">
    <w:name w:val="Intense Reference"/>
    <w:basedOn w:val="DefaultParagraphFont"/>
    <w:uiPriority w:val="32"/>
    <w:qFormat/>
    <w:rsid w:val="00FE5BF6"/>
    <w:rPr>
      <w:b/>
      <w:bCs/>
      <w:smallCaps/>
      <w:color w:val="0F4761" w:themeColor="accent1" w:themeShade="BF"/>
      <w:spacing w:val="5"/>
    </w:rPr>
  </w:style>
  <w:style w:type="table" w:styleId="GridTable1Light">
    <w:name w:val="Grid Table 1 Light"/>
    <w:basedOn w:val="TableNormal"/>
    <w:uiPriority w:val="46"/>
    <w:rsid w:val="00FE5BF6"/>
    <w:pPr>
      <w:spacing w:after="0" w:line="240" w:lineRule="auto"/>
    </w:pPr>
    <w:rPr>
      <w:rFonts w:eastAsiaTheme="minorEastAsia"/>
      <w:kern w:val="0"/>
      <w:lang w:eastAsia="ja-JP"/>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5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C8"/>
    <w:rPr>
      <w:rFonts w:eastAsiaTheme="minorEastAsia"/>
      <w:kern w:val="0"/>
      <w:lang w:eastAsia="ja-JP"/>
      <w14:ligatures w14:val="none"/>
    </w:rPr>
  </w:style>
  <w:style w:type="paragraph" w:styleId="Footer">
    <w:name w:val="footer"/>
    <w:basedOn w:val="Normal"/>
    <w:link w:val="FooterChar"/>
    <w:uiPriority w:val="99"/>
    <w:unhideWhenUsed/>
    <w:rsid w:val="00E5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C8"/>
    <w:rPr>
      <w:rFonts w:eastAsiaTheme="minorEastAsia"/>
      <w:kern w:val="0"/>
      <w:lang w:eastAsia="ja-JP"/>
      <w14:ligatures w14:val="none"/>
    </w:rPr>
  </w:style>
  <w:style w:type="table" w:styleId="TableGrid">
    <w:name w:val="Table Grid"/>
    <w:basedOn w:val="TableNormal"/>
    <w:uiPriority w:val="39"/>
    <w:rsid w:val="0071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1FC3"/>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8F1FC3"/>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8F1FC3"/>
    <w:rPr>
      <w:vertAlign w:val="superscript"/>
    </w:rPr>
  </w:style>
  <w:style w:type="character" w:customStyle="1" w:styleId="normaltextrun">
    <w:name w:val="normaltextrun"/>
    <w:basedOn w:val="DefaultParagraphFont"/>
    <w:rsid w:val="00525C64"/>
  </w:style>
  <w:style w:type="character" w:customStyle="1" w:styleId="eop">
    <w:name w:val="eop"/>
    <w:basedOn w:val="DefaultParagraphFont"/>
    <w:rsid w:val="0052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2474</Words>
  <Characters>14102</Characters>
  <Application>Microsoft Office Word</Application>
  <DocSecurity>0</DocSecurity>
  <Lines>117</Lines>
  <Paragraphs>33</Paragraphs>
  <ScaleCrop>false</ScaleCrop>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Vu</dc:creator>
  <cp:keywords/>
  <dc:description/>
  <cp:lastModifiedBy>Huong Pham - VIAC</cp:lastModifiedBy>
  <cp:revision>45</cp:revision>
  <dcterms:created xsi:type="dcterms:W3CDTF">2025-03-20T02:47:00Z</dcterms:created>
  <dcterms:modified xsi:type="dcterms:W3CDTF">2025-03-21T09:58:00Z</dcterms:modified>
</cp:coreProperties>
</file>